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Рівні можливості жінок та чоловіків – це: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а) рівні умови для реалізації рівних прав жінок та чоловіків;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спеціально підібрані можливості стосовно статті;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можливість самостійно реалізувати свої права;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можливість самостійно обирати свої права.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 xml:space="preserve">Дискримінація за ознакою статті: 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певні винятки за ознакою статті;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наголос на відмінності статей;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в) дії чи бездіяльність, що виражають будь-яке розрізнення, виняток або привілеї за ознакою статті, якщо вони спрямованні на обмеження або унеможливлюють визнання, користування чи здійснення на рівних підставах прав і свобод людини для чоловіків і жінок;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обмеження або унеможливлення визнання, користування чи здійснення на рівних підставах прав і свобод людини для чоловіків і жінок.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До органів, установ та організацій, наділених повноваженнями у сфері забезпечення рівних прав та можливостей жінок і чоловіків НЕ відносяться: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Верховна Рада України;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б) Президент України;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Кабінет Міністрів України;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органи виконавчої влади та органи місцевого самоврядування; об’єднання громадян.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Дискримінація  за ознакою статті при прийнятті на державну службу та службу в органи місцевого самоврядування і під час її проходження: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а) забороняється;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припустима;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дозволена лише у випадках передбачених законодавством;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допускається лише в певних аспектах.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 xml:space="preserve">Рівні права та можливості у працевлаштуванні, просуванні по роботі, підвищенні  кваліфікації та перепідготовці жінкам і чоловікам: 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допускаються;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поданні на розгляд;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в) забезпечуються;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в пріоритеті.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Роботодавцям забороняється в оголошеннях (рекламі) про вакансії пропонувати роботу: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лише жінкам;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лише чоловікам;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lastRenderedPageBreak/>
        <w:t>в) лише жінкам або лише чоловікам, за винятком специфічної роботи, яка може виконуватися виключно особами певної статті;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здійснювати негативні дії.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У якому році був прийнятий Закон України «Про забезпечення рівних прав і можливостей жінок та чоловіків?»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2002;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1995;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в) 2005;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2006.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З якого року в Україні запроваджено процедуру проведення гендерно-правової експертизи?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2004;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б) 2005;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2006;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2007.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Євро-гендерна мережа</w:t>
      </w:r>
      <w:r w:rsidR="003F2978">
        <w:rPr>
          <w:rFonts w:cs="Calibri"/>
          <w:b/>
          <w:i/>
          <w:sz w:val="28"/>
          <w:szCs w:val="28"/>
        </w:rPr>
        <w:t>‒</w:t>
      </w:r>
      <w:r w:rsidR="003F2978">
        <w:rPr>
          <w:rFonts w:ascii="Times New Roman" w:hAnsi="Times New Roman"/>
          <w:b/>
          <w:i/>
          <w:sz w:val="28"/>
          <w:szCs w:val="28"/>
        </w:rPr>
        <w:t>це</w:t>
      </w:r>
      <w:bookmarkStart w:id="0" w:name="_GoBack"/>
      <w:bookmarkEnd w:id="0"/>
      <w:r w:rsidRPr="00B81BDB">
        <w:rPr>
          <w:rFonts w:ascii="Times New Roman" w:hAnsi="Times New Roman"/>
          <w:b/>
          <w:i/>
          <w:sz w:val="28"/>
          <w:szCs w:val="28"/>
        </w:rPr>
        <w:t>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кампанія, що займається розробкою теми гендерної політики;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організація з питань гендерної рівності;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в) основна консультаційна платформа Європейського інституту з питань гендерної рівності;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електрона мережа, яка надає консультації жінкам та чоловікам стосовно питань гендерної рівності.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b/>
          <w:i/>
        </w:rPr>
        <w:t xml:space="preserve"> </w:t>
      </w:r>
      <w:r w:rsidRPr="00B81BDB">
        <w:rPr>
          <w:rFonts w:ascii="Times New Roman" w:hAnsi="Times New Roman"/>
          <w:b/>
          <w:i/>
          <w:sz w:val="28"/>
          <w:szCs w:val="28"/>
        </w:rPr>
        <w:t>Який з нижченаведених аналітичних інструментів використовується у сучасному публічному управлінні для поглибленого аналізу напрямів публічної політики та програм з метою утвердження гендерної рівності в суспільстві?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гендерний аналіз;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81BDB">
        <w:rPr>
          <w:rFonts w:ascii="Times New Roman" w:hAnsi="Times New Roman"/>
          <w:sz w:val="28"/>
          <w:szCs w:val="28"/>
        </w:rPr>
        <w:t>інтерсекційний</w:t>
      </w:r>
      <w:proofErr w:type="spellEnd"/>
      <w:r w:rsidRPr="00B81BDB">
        <w:rPr>
          <w:rFonts w:ascii="Times New Roman" w:hAnsi="Times New Roman"/>
          <w:sz w:val="28"/>
          <w:szCs w:val="28"/>
        </w:rPr>
        <w:t xml:space="preserve"> аналіз;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81BDB">
        <w:rPr>
          <w:rFonts w:ascii="Times New Roman" w:hAnsi="Times New Roman"/>
          <w:i/>
          <w:sz w:val="28"/>
          <w:szCs w:val="28"/>
          <w:u w:val="single"/>
        </w:rPr>
        <w:t>в) гендерний аналіз;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 xml:space="preserve">г) аналіз </w:t>
      </w:r>
      <w:proofErr w:type="spellStart"/>
      <w:r w:rsidRPr="00B81BDB">
        <w:rPr>
          <w:rFonts w:ascii="Times New Roman" w:hAnsi="Times New Roman"/>
          <w:sz w:val="28"/>
          <w:szCs w:val="28"/>
        </w:rPr>
        <w:t>гендеру</w:t>
      </w:r>
      <w:proofErr w:type="spellEnd"/>
      <w:r w:rsidRPr="00B81BDB">
        <w:rPr>
          <w:rFonts w:ascii="Times New Roman" w:hAnsi="Times New Roman"/>
          <w:sz w:val="28"/>
          <w:szCs w:val="28"/>
        </w:rPr>
        <w:t xml:space="preserve"> і розмаїття;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Ґендерна система :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а) сукупність відносин між чоловіками й жінками, а також ідей, неформальних і формальних правил і норм поведінки, визначених відповідно до місця, цілей та становища статей у кожному конкретному суспільстві;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б) сукупність певних елементів, явищ, процесів що пов'язані між собою за одною або кількома ознаками;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правило, яке встановлюється у межах певної держави;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сукупність норм поведінки та відносин між чоловіками й жінками.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b/>
          <w:i/>
          <w:sz w:val="28"/>
          <w:szCs w:val="28"/>
        </w:rPr>
      </w:pP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b/>
          <w:i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lastRenderedPageBreak/>
        <w:t xml:space="preserve">Ґендерні квоти:  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гранична кількість представництва однієї статті в органах державної влади;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</w:pPr>
      <w:r w:rsidRPr="00B81BDB">
        <w:rPr>
          <w:rFonts w:ascii="Times New Roman" w:hAnsi="Times New Roman"/>
          <w:sz w:val="28"/>
          <w:szCs w:val="28"/>
          <w:u w:val="single"/>
        </w:rPr>
        <w:t>б) політико-правовий спосіб згладжування наслідків ґендерної дискримінації в усіх суспільних сферах шляхом надання легітимної політичної трибуни для артикуляції, представництва та реалізації відповідних соціальних інтересів</w:t>
      </w:r>
      <w:r w:rsidRPr="00B81BDB">
        <w:t>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необхідність  забезпечення  пріоритетності політичних проблем;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розрив у доходах представників різних ґендерних груп.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Професійна сегрегація за ознакою статі</w:t>
      </w:r>
      <w:r w:rsidRPr="00B81BDB">
        <w:rPr>
          <w:rFonts w:ascii="Times New Roman" w:hAnsi="Times New Roman"/>
          <w:i/>
          <w:sz w:val="28"/>
          <w:szCs w:val="28"/>
        </w:rPr>
        <w:t xml:space="preserve">: 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</w:t>
      </w:r>
      <w:r w:rsidRPr="00B81BDB">
        <w:rPr>
          <w:rFonts w:ascii="Times New Roman" w:hAnsi="Times New Roman"/>
          <w:b/>
          <w:sz w:val="28"/>
          <w:szCs w:val="28"/>
        </w:rPr>
        <w:t xml:space="preserve"> </w:t>
      </w:r>
      <w:r w:rsidRPr="00B81BDB">
        <w:rPr>
          <w:rFonts w:ascii="Times New Roman" w:hAnsi="Times New Roman"/>
          <w:sz w:val="28"/>
          <w:szCs w:val="28"/>
        </w:rPr>
        <w:t xml:space="preserve">асиметрія в органах державної влади осіб однієї статті;  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б</w:t>
      </w:r>
      <w:r w:rsidRPr="00B81BDB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B81BDB">
        <w:rPr>
          <w:rFonts w:ascii="Times New Roman" w:hAnsi="Times New Roman"/>
          <w:sz w:val="28"/>
          <w:szCs w:val="28"/>
          <w:u w:val="single"/>
        </w:rPr>
        <w:t>концентрація осіб однієї статі в рамках тієї чи іншої професії, що відбиває нерівномірний розподіл ролей між жінками та чоловіками в економіці;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усталені погляди на роль і місце жінки й чоловіка в суспільстві;</w:t>
      </w:r>
    </w:p>
    <w:p w:rsidR="00B81BDB" w:rsidRPr="00B81BDB" w:rsidRDefault="00B81BDB" w:rsidP="00B81BD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1BDB">
        <w:rPr>
          <w:rFonts w:ascii="Times New Roman" w:hAnsi="Times New Roman"/>
          <w:sz w:val="28"/>
          <w:szCs w:val="28"/>
        </w:rPr>
        <w:t xml:space="preserve">г) </w:t>
      </w:r>
      <w:r w:rsidRPr="00B81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покращення процесів прийняття й ухвалення рішень на всіх рівнях. 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81BDB">
        <w:rPr>
          <w:rFonts w:ascii="Times New Roman" w:hAnsi="Times New Roman"/>
          <w:b/>
          <w:i/>
          <w:sz w:val="28"/>
          <w:szCs w:val="28"/>
        </w:rPr>
        <w:t>За якими параметрами обчислюється Індекс гендерної рівності: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а) рівень освіти та рівень життя;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1BDB">
        <w:rPr>
          <w:rFonts w:ascii="Times New Roman" w:hAnsi="Times New Roman"/>
          <w:sz w:val="28"/>
          <w:szCs w:val="28"/>
          <w:u w:val="single"/>
        </w:rPr>
        <w:t>б) економічна участь і кар’єрні можливості, освіта, здоров’я, політичні права і можливості;</w:t>
      </w:r>
    </w:p>
    <w:p w:rsidR="00B81BDB" w:rsidRPr="00B81BDB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в) політичні права та можливості;</w:t>
      </w:r>
    </w:p>
    <w:p w:rsidR="00B81BDB" w:rsidRPr="00C56748" w:rsidRDefault="00B81BDB" w:rsidP="00B81B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BDB">
        <w:rPr>
          <w:rFonts w:ascii="Times New Roman" w:hAnsi="Times New Roman"/>
          <w:sz w:val="28"/>
          <w:szCs w:val="28"/>
        </w:rPr>
        <w:t>г) кар’єрні можливості, освіта, здоров’я</w:t>
      </w:r>
    </w:p>
    <w:p w:rsidR="00D17242" w:rsidRDefault="00D17242" w:rsidP="00B81BDB">
      <w:pPr>
        <w:spacing w:after="0" w:line="240" w:lineRule="auto"/>
        <w:ind w:firstLine="567"/>
      </w:pPr>
    </w:p>
    <w:sectPr w:rsidR="00D1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6"/>
    <w:rsid w:val="00392446"/>
    <w:rsid w:val="003F2978"/>
    <w:rsid w:val="00B81BDB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D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D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3</cp:revision>
  <dcterms:created xsi:type="dcterms:W3CDTF">2019-01-16T20:52:00Z</dcterms:created>
  <dcterms:modified xsi:type="dcterms:W3CDTF">2019-01-20T18:49:00Z</dcterms:modified>
</cp:coreProperties>
</file>