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B45" w:rsidRPr="00171B45" w:rsidRDefault="00171B45" w:rsidP="00171B45">
      <w:pPr>
        <w:shd w:val="clear" w:color="auto" w:fill="FFFFFF"/>
        <w:spacing w:before="150" w:after="150" w:line="600" w:lineRule="atLeast"/>
        <w:jc w:val="center"/>
        <w:outlineLvl w:val="2"/>
        <w:rPr>
          <w:rStyle w:val="rvts23"/>
          <w:rFonts w:ascii="Times New Roman" w:hAnsi="Times New Roman"/>
          <w:b/>
          <w:sz w:val="28"/>
          <w:szCs w:val="28"/>
          <w:lang w:val="uk-UA" w:eastAsia="ru-RU"/>
        </w:rPr>
      </w:pPr>
      <w:r w:rsidRPr="00171B45">
        <w:rPr>
          <w:rStyle w:val="rvts23"/>
          <w:rFonts w:ascii="Times New Roman" w:hAnsi="Times New Roman"/>
          <w:b/>
          <w:sz w:val="28"/>
          <w:szCs w:val="28"/>
          <w:lang w:val="uk-UA" w:eastAsia="ru-RU"/>
        </w:rPr>
        <w:t>ТЕМА 4. МІЖНАРОДНИЙ МЕХАНІЗМ ЗАБЕЗПЕЧЕННЯ ГЕНДЕРНОЇ РІВНОСТІ</w:t>
      </w:r>
    </w:p>
    <w:p w:rsidR="00171B45" w:rsidRPr="00171B45" w:rsidRDefault="00171B45" w:rsidP="00D02534">
      <w:pPr>
        <w:pStyle w:val="HTML"/>
        <w:shd w:val="clear" w:color="auto" w:fill="FFFFFF"/>
        <w:tabs>
          <w:tab w:val="left" w:pos="0"/>
        </w:tabs>
        <w:ind w:firstLine="567"/>
        <w:jc w:val="center"/>
        <w:textAlignment w:val="baseline"/>
        <w:rPr>
          <w:rStyle w:val="rvts23"/>
          <w:rFonts w:ascii="Times New Roman" w:hAnsi="Times New Roman"/>
          <w:b/>
          <w:sz w:val="28"/>
          <w:szCs w:val="28"/>
        </w:rPr>
      </w:pPr>
    </w:p>
    <w:p w:rsidR="00624DF4" w:rsidRPr="00D02534" w:rsidRDefault="00624DF4" w:rsidP="00D02534">
      <w:pPr>
        <w:pStyle w:val="HTML"/>
        <w:shd w:val="clear" w:color="auto" w:fill="FFFFFF"/>
        <w:tabs>
          <w:tab w:val="left" w:pos="0"/>
        </w:tabs>
        <w:ind w:firstLine="567"/>
        <w:jc w:val="center"/>
        <w:textAlignment w:val="baseline"/>
        <w:rPr>
          <w:rStyle w:val="rvts23"/>
          <w:rFonts w:ascii="Times New Roman" w:hAnsi="Times New Roman"/>
          <w:b/>
          <w:sz w:val="28"/>
          <w:szCs w:val="28"/>
          <w:lang w:val="uk-UA"/>
        </w:rPr>
      </w:pPr>
      <w:r w:rsidRPr="00D02534">
        <w:rPr>
          <w:rStyle w:val="rvts23"/>
          <w:rFonts w:ascii="Times New Roman" w:hAnsi="Times New Roman"/>
          <w:b/>
          <w:sz w:val="28"/>
          <w:szCs w:val="28"/>
          <w:lang w:val="uk-UA"/>
        </w:rPr>
        <w:t>ПЛАН ЛЕКЦІЇ:</w:t>
      </w:r>
    </w:p>
    <w:p w:rsidR="00624DF4" w:rsidRPr="00624DF4" w:rsidRDefault="00624DF4" w:rsidP="00D02534">
      <w:pPr>
        <w:pStyle w:val="HTML"/>
        <w:shd w:val="clear" w:color="auto" w:fill="FFFFFF"/>
        <w:tabs>
          <w:tab w:val="left" w:pos="0"/>
        </w:tabs>
        <w:spacing w:line="360" w:lineRule="auto"/>
        <w:ind w:firstLine="567"/>
        <w:textAlignment w:val="baseline"/>
        <w:rPr>
          <w:rStyle w:val="rvts23"/>
          <w:rFonts w:ascii="Times New Roman" w:hAnsi="Times New Roman"/>
          <w:sz w:val="28"/>
          <w:szCs w:val="28"/>
          <w:lang w:val="uk-UA"/>
        </w:rPr>
      </w:pPr>
      <w:r>
        <w:rPr>
          <w:rStyle w:val="rvts23"/>
          <w:rFonts w:ascii="Times New Roman" w:hAnsi="Times New Roman"/>
          <w:sz w:val="28"/>
          <w:szCs w:val="28"/>
          <w:lang w:val="uk-UA"/>
        </w:rPr>
        <w:t>1</w:t>
      </w:r>
      <w:r w:rsidRPr="00624DF4">
        <w:rPr>
          <w:rStyle w:val="rvts23"/>
          <w:rFonts w:ascii="Times New Roman" w:hAnsi="Times New Roman"/>
          <w:sz w:val="28"/>
          <w:szCs w:val="28"/>
          <w:lang w:val="uk-UA"/>
        </w:rPr>
        <w:t>. Основні міжнародні акти, що визначають стандарти гендерної рівності</w:t>
      </w:r>
    </w:p>
    <w:p w:rsidR="00624DF4" w:rsidRPr="00624DF4" w:rsidRDefault="00624DF4" w:rsidP="00D02534">
      <w:pPr>
        <w:spacing w:after="0" w:line="360" w:lineRule="auto"/>
        <w:ind w:firstLine="567"/>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w:t>
      </w:r>
      <w:r w:rsidRPr="00624DF4">
        <w:rPr>
          <w:rFonts w:ascii="Times New Roman" w:eastAsia="Times New Roman" w:hAnsi="Times New Roman"/>
          <w:sz w:val="28"/>
          <w:szCs w:val="28"/>
          <w:lang w:val="uk-UA" w:eastAsia="ru-RU"/>
        </w:rPr>
        <w:t>. Міжнародні інституції, що забезпечують гендерну рівність</w:t>
      </w:r>
    </w:p>
    <w:p w:rsidR="00624DF4" w:rsidRPr="00624DF4" w:rsidRDefault="00624DF4" w:rsidP="00D02534">
      <w:pPr>
        <w:spacing w:after="0" w:line="360" w:lineRule="auto"/>
        <w:ind w:firstLine="567"/>
        <w:rPr>
          <w:lang w:val="uk-UA"/>
        </w:rPr>
      </w:pPr>
      <w:r>
        <w:rPr>
          <w:rFonts w:ascii="Times New Roman" w:eastAsia="Times New Roman" w:hAnsi="Times New Roman"/>
          <w:bCs/>
          <w:sz w:val="28"/>
          <w:szCs w:val="28"/>
          <w:lang w:val="uk-UA" w:eastAsia="x-none"/>
        </w:rPr>
        <w:t>3</w:t>
      </w:r>
      <w:r w:rsidRPr="00624DF4">
        <w:rPr>
          <w:rFonts w:ascii="Times New Roman" w:eastAsia="Times New Roman" w:hAnsi="Times New Roman"/>
          <w:bCs/>
          <w:sz w:val="28"/>
          <w:szCs w:val="28"/>
          <w:lang w:val="uk-UA" w:eastAsia="x-none"/>
        </w:rPr>
        <w:t xml:space="preserve">. Міжнародний досвід протидії </w:t>
      </w:r>
      <w:proofErr w:type="spellStart"/>
      <w:r w:rsidRPr="00624DF4">
        <w:rPr>
          <w:rFonts w:ascii="Times New Roman" w:eastAsia="Times New Roman" w:hAnsi="Times New Roman"/>
          <w:bCs/>
          <w:sz w:val="28"/>
          <w:szCs w:val="28"/>
          <w:lang w:val="uk-UA" w:eastAsia="x-none"/>
        </w:rPr>
        <w:t>гендерно</w:t>
      </w:r>
      <w:proofErr w:type="spellEnd"/>
      <w:r w:rsidRPr="00624DF4">
        <w:rPr>
          <w:rFonts w:ascii="Times New Roman" w:eastAsia="Times New Roman" w:hAnsi="Times New Roman"/>
          <w:bCs/>
          <w:sz w:val="28"/>
          <w:szCs w:val="28"/>
          <w:lang w:val="uk-UA" w:eastAsia="x-none"/>
        </w:rPr>
        <w:t xml:space="preserve"> обумовленому насильству</w:t>
      </w:r>
    </w:p>
    <w:p w:rsidR="00624DF4" w:rsidRDefault="00624DF4" w:rsidP="00D02534">
      <w:pPr>
        <w:spacing w:after="0" w:line="360" w:lineRule="auto"/>
        <w:ind w:firstLine="567"/>
        <w:rPr>
          <w:rFonts w:ascii="Times New Roman" w:eastAsia="Times New Roman" w:hAnsi="Times New Roman"/>
          <w:bCs/>
          <w:sz w:val="28"/>
          <w:szCs w:val="28"/>
          <w:lang w:val="uk-UA" w:eastAsia="x-none"/>
        </w:rPr>
      </w:pPr>
      <w:r>
        <w:rPr>
          <w:rFonts w:ascii="Times New Roman" w:eastAsia="Times New Roman" w:hAnsi="Times New Roman"/>
          <w:sz w:val="28"/>
          <w:szCs w:val="28"/>
          <w:lang w:val="uk-UA" w:eastAsia="x-none"/>
        </w:rPr>
        <w:t>4</w:t>
      </w:r>
      <w:r w:rsidRPr="00624DF4">
        <w:rPr>
          <w:rFonts w:ascii="Times New Roman" w:eastAsia="Times New Roman" w:hAnsi="Times New Roman"/>
          <w:sz w:val="28"/>
          <w:szCs w:val="28"/>
          <w:lang w:eastAsia="x-none"/>
        </w:rPr>
        <w:t xml:space="preserve">. </w:t>
      </w:r>
      <w:r w:rsidRPr="00624DF4">
        <w:rPr>
          <w:rFonts w:ascii="Times New Roman" w:eastAsia="Times New Roman" w:hAnsi="Times New Roman"/>
          <w:bCs/>
          <w:sz w:val="28"/>
          <w:szCs w:val="28"/>
          <w:lang w:val="uk-UA" w:eastAsia="x-none"/>
        </w:rPr>
        <w:t xml:space="preserve">Практика </w:t>
      </w:r>
      <w:r>
        <w:rPr>
          <w:rFonts w:ascii="Times New Roman" w:eastAsia="Times New Roman" w:hAnsi="Times New Roman"/>
          <w:bCs/>
          <w:sz w:val="28"/>
          <w:szCs w:val="28"/>
          <w:lang w:val="uk-UA" w:eastAsia="x-none"/>
        </w:rPr>
        <w:t>Є</w:t>
      </w:r>
      <w:r w:rsidRPr="00624DF4">
        <w:rPr>
          <w:rFonts w:ascii="Times New Roman" w:eastAsia="Times New Roman" w:hAnsi="Times New Roman"/>
          <w:bCs/>
          <w:sz w:val="28"/>
          <w:szCs w:val="28"/>
          <w:lang w:val="uk-UA" w:eastAsia="x-none"/>
        </w:rPr>
        <w:t>вропейського суду з прав людини у сфері забезпечення гендерної рівності</w:t>
      </w:r>
    </w:p>
    <w:p w:rsidR="00D02534" w:rsidRDefault="00D02534" w:rsidP="009B1EBB">
      <w:pPr>
        <w:pStyle w:val="HTML"/>
        <w:shd w:val="clear" w:color="auto" w:fill="FFFFFF"/>
        <w:tabs>
          <w:tab w:val="left" w:pos="0"/>
        </w:tabs>
        <w:spacing w:line="360" w:lineRule="auto"/>
        <w:ind w:firstLine="567"/>
        <w:jc w:val="center"/>
        <w:textAlignment w:val="baseline"/>
        <w:rPr>
          <w:rFonts w:ascii="Times New Roman" w:hAnsi="Times New Roman" w:cs="Times New Roman"/>
          <w:b/>
          <w:bCs/>
          <w:sz w:val="28"/>
          <w:szCs w:val="28"/>
          <w:lang w:val="uk-UA" w:eastAsia="x-none"/>
        </w:rPr>
      </w:pPr>
    </w:p>
    <w:p w:rsidR="00624DF4" w:rsidRPr="009B1EBB" w:rsidRDefault="00624DF4" w:rsidP="009B1EBB">
      <w:pPr>
        <w:pStyle w:val="HTML"/>
        <w:shd w:val="clear" w:color="auto" w:fill="FFFFFF"/>
        <w:tabs>
          <w:tab w:val="left" w:pos="0"/>
        </w:tabs>
        <w:spacing w:line="360" w:lineRule="auto"/>
        <w:ind w:firstLine="567"/>
        <w:jc w:val="center"/>
        <w:textAlignment w:val="baseline"/>
        <w:rPr>
          <w:b/>
          <w:bCs/>
          <w:lang w:val="uk-UA" w:eastAsia="x-none"/>
        </w:rPr>
      </w:pPr>
      <w:r w:rsidRPr="009B1EBB">
        <w:rPr>
          <w:rFonts w:ascii="Times New Roman" w:hAnsi="Times New Roman" w:cs="Times New Roman"/>
          <w:b/>
          <w:bCs/>
          <w:sz w:val="28"/>
          <w:szCs w:val="28"/>
          <w:lang w:val="uk-UA" w:eastAsia="x-none"/>
        </w:rPr>
        <w:t>РЕКОМЕНДОВАНА ЛІТЕРАТУРА:</w:t>
      </w:r>
    </w:p>
    <w:p w:rsidR="00346206" w:rsidRPr="00D02534" w:rsidRDefault="00346206" w:rsidP="00D02534">
      <w:pPr>
        <w:numPr>
          <w:ilvl w:val="0"/>
          <w:numId w:val="1"/>
        </w:numPr>
        <w:spacing w:after="0" w:line="360" w:lineRule="auto"/>
        <w:ind w:left="0" w:firstLine="720"/>
        <w:contextualSpacing/>
        <w:jc w:val="both"/>
        <w:rPr>
          <w:rFonts w:ascii="Times New Roman" w:eastAsia="Times New Roman" w:hAnsi="Times New Roman"/>
          <w:bCs/>
          <w:sz w:val="28"/>
          <w:szCs w:val="28"/>
          <w:lang w:val="uk-UA" w:eastAsia="x-none"/>
        </w:rPr>
      </w:pPr>
      <w:r w:rsidRPr="00D02534">
        <w:rPr>
          <w:rFonts w:ascii="Times New Roman" w:eastAsia="Times New Roman" w:hAnsi="Times New Roman"/>
          <w:bCs/>
          <w:sz w:val="28"/>
          <w:szCs w:val="28"/>
          <w:lang w:val="uk-UA" w:eastAsia="x-none"/>
        </w:rPr>
        <w:t xml:space="preserve">Гончарова Ю. А. Роль та місце принципу ґендерної рівності в сучасному міжнародному праві: автореф. дис. … канд. </w:t>
      </w:r>
      <w:proofErr w:type="spellStart"/>
      <w:r w:rsidRPr="00D02534">
        <w:rPr>
          <w:rFonts w:ascii="Times New Roman" w:eastAsia="Times New Roman" w:hAnsi="Times New Roman"/>
          <w:bCs/>
          <w:sz w:val="28"/>
          <w:szCs w:val="28"/>
          <w:lang w:val="uk-UA" w:eastAsia="x-none"/>
        </w:rPr>
        <w:t>юрид</w:t>
      </w:r>
      <w:proofErr w:type="spellEnd"/>
      <w:r w:rsidRPr="00D02534">
        <w:rPr>
          <w:rFonts w:ascii="Times New Roman" w:eastAsia="Times New Roman" w:hAnsi="Times New Roman"/>
          <w:bCs/>
          <w:sz w:val="28"/>
          <w:szCs w:val="28"/>
          <w:lang w:val="uk-UA" w:eastAsia="x-none"/>
        </w:rPr>
        <w:t xml:space="preserve">. наук. Київ, 2017. 26 с. </w:t>
      </w:r>
    </w:p>
    <w:p w:rsidR="00346206" w:rsidRPr="00D02534" w:rsidRDefault="00346206" w:rsidP="00D02534">
      <w:pPr>
        <w:numPr>
          <w:ilvl w:val="0"/>
          <w:numId w:val="1"/>
        </w:numPr>
        <w:spacing w:after="0" w:line="360" w:lineRule="auto"/>
        <w:ind w:left="0" w:firstLine="720"/>
        <w:contextualSpacing/>
        <w:jc w:val="both"/>
        <w:rPr>
          <w:rFonts w:ascii="Times New Roman" w:eastAsia="Times New Roman" w:hAnsi="Times New Roman"/>
          <w:bCs/>
          <w:sz w:val="28"/>
          <w:szCs w:val="28"/>
          <w:lang w:val="uk-UA" w:eastAsia="x-none"/>
        </w:rPr>
      </w:pPr>
      <w:r w:rsidRPr="00D02534">
        <w:rPr>
          <w:rFonts w:ascii="Times New Roman" w:eastAsia="Times New Roman" w:hAnsi="Times New Roman"/>
          <w:bCs/>
          <w:sz w:val="28"/>
          <w:szCs w:val="28"/>
          <w:lang w:val="uk-UA" w:eastAsia="x-none"/>
        </w:rPr>
        <w:t xml:space="preserve">Грицай І. О. Міжнародні стандарти у сфері гендерної рівності та їх реалізація в Україні: </w:t>
      </w:r>
      <w:proofErr w:type="spellStart"/>
      <w:r w:rsidRPr="00D02534">
        <w:rPr>
          <w:rFonts w:ascii="Times New Roman" w:eastAsia="Times New Roman" w:hAnsi="Times New Roman"/>
          <w:bCs/>
          <w:sz w:val="28"/>
          <w:szCs w:val="28"/>
          <w:lang w:val="uk-UA" w:eastAsia="x-none"/>
        </w:rPr>
        <w:t>загальноправовий</w:t>
      </w:r>
      <w:proofErr w:type="spellEnd"/>
      <w:r w:rsidRPr="00D02534">
        <w:rPr>
          <w:rFonts w:ascii="Times New Roman" w:eastAsia="Times New Roman" w:hAnsi="Times New Roman"/>
          <w:bCs/>
          <w:sz w:val="28"/>
          <w:szCs w:val="28"/>
          <w:lang w:val="uk-UA" w:eastAsia="x-none"/>
        </w:rPr>
        <w:t xml:space="preserve"> аспект. Актуальні проблеми державотворення, </w:t>
      </w:r>
      <w:proofErr w:type="spellStart"/>
      <w:r w:rsidRPr="00D02534">
        <w:rPr>
          <w:rFonts w:ascii="Times New Roman" w:eastAsia="Times New Roman" w:hAnsi="Times New Roman"/>
          <w:bCs/>
          <w:sz w:val="28"/>
          <w:szCs w:val="28"/>
          <w:lang w:val="uk-UA" w:eastAsia="x-none"/>
        </w:rPr>
        <w:t>правотворення</w:t>
      </w:r>
      <w:proofErr w:type="spellEnd"/>
      <w:r w:rsidRPr="00D02534">
        <w:rPr>
          <w:rFonts w:ascii="Times New Roman" w:eastAsia="Times New Roman" w:hAnsi="Times New Roman"/>
          <w:bCs/>
          <w:sz w:val="28"/>
          <w:szCs w:val="28"/>
          <w:lang w:val="uk-UA" w:eastAsia="x-none"/>
        </w:rPr>
        <w:t xml:space="preserve"> та правозастосування: </w:t>
      </w:r>
      <w:proofErr w:type="spellStart"/>
      <w:r w:rsidRPr="00D02534">
        <w:rPr>
          <w:rFonts w:ascii="Times New Roman" w:eastAsia="Times New Roman" w:hAnsi="Times New Roman"/>
          <w:bCs/>
          <w:sz w:val="28"/>
          <w:szCs w:val="28"/>
          <w:lang w:val="uk-UA" w:eastAsia="x-none"/>
        </w:rPr>
        <w:t>матер</w:t>
      </w:r>
      <w:proofErr w:type="spellEnd"/>
      <w:r w:rsidRPr="00D02534">
        <w:rPr>
          <w:rFonts w:ascii="Times New Roman" w:eastAsia="Times New Roman" w:hAnsi="Times New Roman"/>
          <w:bCs/>
          <w:sz w:val="28"/>
          <w:szCs w:val="28"/>
          <w:lang w:val="uk-UA" w:eastAsia="x-none"/>
        </w:rPr>
        <w:t>. наук. семінару, 08 груд. 2017 р. Дніпро, 2018. С. 67-70.</w:t>
      </w:r>
    </w:p>
    <w:p w:rsidR="00346206" w:rsidRPr="00D02534" w:rsidRDefault="00346206" w:rsidP="00D02534">
      <w:pPr>
        <w:numPr>
          <w:ilvl w:val="0"/>
          <w:numId w:val="1"/>
        </w:numPr>
        <w:spacing w:after="0" w:line="360" w:lineRule="auto"/>
        <w:ind w:left="0" w:firstLine="720"/>
        <w:contextualSpacing/>
        <w:jc w:val="both"/>
        <w:rPr>
          <w:rFonts w:ascii="Times New Roman" w:eastAsia="Times New Roman" w:hAnsi="Times New Roman"/>
          <w:bCs/>
          <w:sz w:val="28"/>
          <w:szCs w:val="28"/>
          <w:lang w:val="uk-UA" w:eastAsia="x-none"/>
        </w:rPr>
      </w:pPr>
      <w:r w:rsidRPr="00D02534">
        <w:rPr>
          <w:rFonts w:ascii="Times New Roman" w:eastAsia="Times New Roman" w:hAnsi="Times New Roman"/>
          <w:bCs/>
          <w:sz w:val="28"/>
          <w:szCs w:val="28"/>
          <w:lang w:val="uk-UA" w:eastAsia="x-none"/>
        </w:rPr>
        <w:t xml:space="preserve">Грицай І. О. Принцип гендерної рівності: вітчизняний досвід та міжнародні стандарти. </w:t>
      </w:r>
      <w:proofErr w:type="spellStart"/>
      <w:r w:rsidRPr="00D02534">
        <w:rPr>
          <w:rFonts w:ascii="Times New Roman" w:eastAsia="Times New Roman" w:hAnsi="Times New Roman"/>
          <w:bCs/>
          <w:sz w:val="28"/>
          <w:szCs w:val="28"/>
          <w:lang w:val="uk-UA" w:eastAsia="x-none"/>
        </w:rPr>
        <w:t>Jurnalul</w:t>
      </w:r>
      <w:proofErr w:type="spellEnd"/>
      <w:r w:rsidRPr="00D02534">
        <w:rPr>
          <w:rFonts w:ascii="Times New Roman" w:eastAsia="Times New Roman" w:hAnsi="Times New Roman"/>
          <w:bCs/>
          <w:sz w:val="28"/>
          <w:szCs w:val="28"/>
          <w:lang w:val="uk-UA" w:eastAsia="x-none"/>
        </w:rPr>
        <w:t xml:space="preserve"> </w:t>
      </w:r>
      <w:proofErr w:type="spellStart"/>
      <w:r w:rsidRPr="00D02534">
        <w:rPr>
          <w:rFonts w:ascii="Times New Roman" w:eastAsia="Times New Roman" w:hAnsi="Times New Roman"/>
          <w:bCs/>
          <w:sz w:val="28"/>
          <w:szCs w:val="28"/>
          <w:lang w:val="uk-UA" w:eastAsia="x-none"/>
        </w:rPr>
        <w:t>juridic</w:t>
      </w:r>
      <w:proofErr w:type="spellEnd"/>
      <w:r w:rsidRPr="00D02534">
        <w:rPr>
          <w:rFonts w:ascii="Times New Roman" w:eastAsia="Times New Roman" w:hAnsi="Times New Roman"/>
          <w:bCs/>
          <w:sz w:val="28"/>
          <w:szCs w:val="28"/>
          <w:lang w:val="uk-UA" w:eastAsia="x-none"/>
        </w:rPr>
        <w:t xml:space="preserve"> </w:t>
      </w:r>
      <w:proofErr w:type="spellStart"/>
      <w:r w:rsidRPr="00D02534">
        <w:rPr>
          <w:rFonts w:ascii="Times New Roman" w:eastAsia="Times New Roman" w:hAnsi="Times New Roman"/>
          <w:bCs/>
          <w:sz w:val="28"/>
          <w:szCs w:val="28"/>
          <w:lang w:val="uk-UA" w:eastAsia="x-none"/>
        </w:rPr>
        <w:t>national</w:t>
      </w:r>
      <w:proofErr w:type="spellEnd"/>
      <w:r w:rsidRPr="00D02534">
        <w:rPr>
          <w:rFonts w:ascii="Times New Roman" w:eastAsia="Times New Roman" w:hAnsi="Times New Roman"/>
          <w:bCs/>
          <w:sz w:val="28"/>
          <w:szCs w:val="28"/>
          <w:lang w:val="uk-UA" w:eastAsia="x-none"/>
        </w:rPr>
        <w:t xml:space="preserve">: </w:t>
      </w:r>
      <w:proofErr w:type="spellStart"/>
      <w:r w:rsidRPr="00D02534">
        <w:rPr>
          <w:rFonts w:ascii="Times New Roman" w:eastAsia="Times New Roman" w:hAnsi="Times New Roman"/>
          <w:bCs/>
          <w:sz w:val="28"/>
          <w:szCs w:val="28"/>
          <w:lang w:val="uk-UA" w:eastAsia="x-none"/>
        </w:rPr>
        <w:t>teorie</w:t>
      </w:r>
      <w:proofErr w:type="spellEnd"/>
      <w:r w:rsidRPr="00D02534">
        <w:rPr>
          <w:rFonts w:ascii="Times New Roman" w:eastAsia="Times New Roman" w:hAnsi="Times New Roman"/>
          <w:bCs/>
          <w:sz w:val="28"/>
          <w:szCs w:val="28"/>
          <w:lang w:val="uk-UA" w:eastAsia="x-none"/>
        </w:rPr>
        <w:t xml:space="preserve"> şi </w:t>
      </w:r>
      <w:proofErr w:type="spellStart"/>
      <w:r w:rsidRPr="00D02534">
        <w:rPr>
          <w:rFonts w:ascii="Times New Roman" w:eastAsia="Times New Roman" w:hAnsi="Times New Roman"/>
          <w:bCs/>
          <w:sz w:val="28"/>
          <w:szCs w:val="28"/>
          <w:lang w:val="uk-UA" w:eastAsia="x-none"/>
        </w:rPr>
        <w:t>practică</w:t>
      </w:r>
      <w:proofErr w:type="spellEnd"/>
      <w:r w:rsidRPr="00D02534">
        <w:rPr>
          <w:rFonts w:ascii="Times New Roman" w:eastAsia="Times New Roman" w:hAnsi="Times New Roman"/>
          <w:bCs/>
          <w:sz w:val="28"/>
          <w:szCs w:val="28"/>
          <w:lang w:val="uk-UA" w:eastAsia="x-none"/>
        </w:rPr>
        <w:t>. 2018. № 3 (31). Т. 2. С. 13-16.</w:t>
      </w:r>
    </w:p>
    <w:p w:rsidR="00D02534" w:rsidRPr="00D02534" w:rsidRDefault="00D02534" w:rsidP="00D02534">
      <w:pPr>
        <w:numPr>
          <w:ilvl w:val="0"/>
          <w:numId w:val="1"/>
        </w:numPr>
        <w:spacing w:after="0" w:line="360" w:lineRule="auto"/>
        <w:ind w:left="0" w:firstLine="720"/>
        <w:contextualSpacing/>
        <w:jc w:val="both"/>
        <w:rPr>
          <w:rFonts w:ascii="Times New Roman" w:eastAsia="Times New Roman" w:hAnsi="Times New Roman"/>
          <w:bCs/>
          <w:sz w:val="28"/>
          <w:szCs w:val="28"/>
          <w:lang w:val="uk-UA" w:eastAsia="x-none"/>
        </w:rPr>
      </w:pPr>
      <w:r w:rsidRPr="00D02534">
        <w:rPr>
          <w:rFonts w:ascii="Times New Roman" w:eastAsia="Times New Roman" w:hAnsi="Times New Roman"/>
          <w:bCs/>
          <w:sz w:val="28"/>
          <w:szCs w:val="28"/>
          <w:lang w:val="uk-UA" w:eastAsia="x-none"/>
        </w:rPr>
        <w:t xml:space="preserve">Левченко К. Б. Реалізація в Україні положень міжнародно-правових актів з прав жінок (на прикладі Конвенції ООН «Про ліквідацію всіх форм дискримінації щодо жінок»). Харків: Вид-во Нац. ун-ту внутрішніх справ, 2003. 40 с. </w:t>
      </w:r>
    </w:p>
    <w:p w:rsidR="00D02534" w:rsidRPr="00D02534" w:rsidRDefault="00D02534" w:rsidP="00D02534">
      <w:pPr>
        <w:numPr>
          <w:ilvl w:val="0"/>
          <w:numId w:val="1"/>
        </w:numPr>
        <w:spacing w:after="0" w:line="360" w:lineRule="auto"/>
        <w:ind w:left="0" w:firstLine="720"/>
        <w:contextualSpacing/>
        <w:jc w:val="both"/>
        <w:rPr>
          <w:rFonts w:ascii="Times New Roman" w:eastAsia="Times New Roman" w:hAnsi="Times New Roman"/>
          <w:bCs/>
          <w:sz w:val="28"/>
          <w:szCs w:val="28"/>
          <w:lang w:val="uk-UA" w:eastAsia="x-none"/>
        </w:rPr>
      </w:pPr>
      <w:r w:rsidRPr="00D02534">
        <w:rPr>
          <w:rFonts w:ascii="Times New Roman" w:eastAsia="Times New Roman" w:hAnsi="Times New Roman"/>
          <w:bCs/>
          <w:sz w:val="28"/>
          <w:szCs w:val="28"/>
          <w:lang w:val="uk-UA" w:eastAsia="x-none"/>
        </w:rPr>
        <w:t>Мельник Т. М. Міжнародний досвід гендерних перетворень: закони зарубіжних країн з гендерної рівності. Київ: Логос, 2004. 320 с.</w:t>
      </w:r>
    </w:p>
    <w:p w:rsidR="00D02534" w:rsidRPr="00D02534" w:rsidRDefault="00D02534" w:rsidP="00D02534">
      <w:pPr>
        <w:numPr>
          <w:ilvl w:val="0"/>
          <w:numId w:val="1"/>
        </w:numPr>
        <w:spacing w:after="0" w:line="360" w:lineRule="auto"/>
        <w:ind w:left="0" w:firstLine="720"/>
        <w:contextualSpacing/>
        <w:jc w:val="both"/>
        <w:rPr>
          <w:rFonts w:ascii="Times New Roman" w:eastAsia="Times New Roman" w:hAnsi="Times New Roman"/>
          <w:bCs/>
          <w:sz w:val="28"/>
          <w:szCs w:val="28"/>
          <w:lang w:val="uk-UA" w:eastAsia="x-none"/>
        </w:rPr>
      </w:pPr>
      <w:r w:rsidRPr="00D02534">
        <w:rPr>
          <w:rFonts w:ascii="Times New Roman" w:eastAsia="Times New Roman" w:hAnsi="Times New Roman"/>
          <w:bCs/>
          <w:sz w:val="28"/>
          <w:szCs w:val="28"/>
          <w:lang w:val="uk-UA" w:eastAsia="x-none"/>
        </w:rPr>
        <w:t xml:space="preserve">Мельник Т. М. Міжнародний досвід утвердження гендерної рівності. Міжнародний досвід державного забезпечення рівності жінок та </w:t>
      </w:r>
      <w:r w:rsidRPr="00D02534">
        <w:rPr>
          <w:rFonts w:ascii="Times New Roman" w:eastAsia="Times New Roman" w:hAnsi="Times New Roman"/>
          <w:bCs/>
          <w:sz w:val="28"/>
          <w:szCs w:val="28"/>
          <w:lang w:val="uk-UA" w:eastAsia="x-none"/>
        </w:rPr>
        <w:lastRenderedPageBreak/>
        <w:t xml:space="preserve">чоловіків: матер. </w:t>
      </w:r>
      <w:proofErr w:type="spellStart"/>
      <w:r w:rsidRPr="00D02534">
        <w:rPr>
          <w:rFonts w:ascii="Times New Roman" w:eastAsia="Times New Roman" w:hAnsi="Times New Roman"/>
          <w:bCs/>
          <w:sz w:val="28"/>
          <w:szCs w:val="28"/>
          <w:lang w:val="uk-UA" w:eastAsia="x-none"/>
        </w:rPr>
        <w:t>Міжнар</w:t>
      </w:r>
      <w:proofErr w:type="spellEnd"/>
      <w:r w:rsidRPr="00D02534">
        <w:rPr>
          <w:rFonts w:ascii="Times New Roman" w:eastAsia="Times New Roman" w:hAnsi="Times New Roman"/>
          <w:bCs/>
          <w:sz w:val="28"/>
          <w:szCs w:val="28"/>
          <w:lang w:val="uk-UA" w:eastAsia="x-none"/>
        </w:rPr>
        <w:t xml:space="preserve">. </w:t>
      </w:r>
      <w:proofErr w:type="spellStart"/>
      <w:r w:rsidRPr="00D02534">
        <w:rPr>
          <w:rFonts w:ascii="Times New Roman" w:eastAsia="Times New Roman" w:hAnsi="Times New Roman"/>
          <w:bCs/>
          <w:sz w:val="28"/>
          <w:szCs w:val="28"/>
          <w:lang w:val="uk-UA" w:eastAsia="x-none"/>
        </w:rPr>
        <w:t>конф</w:t>
      </w:r>
      <w:proofErr w:type="spellEnd"/>
      <w:r w:rsidRPr="00D02534">
        <w:rPr>
          <w:rFonts w:ascii="Times New Roman" w:eastAsia="Times New Roman" w:hAnsi="Times New Roman"/>
          <w:bCs/>
          <w:sz w:val="28"/>
          <w:szCs w:val="28"/>
          <w:lang w:val="uk-UA" w:eastAsia="x-none"/>
        </w:rPr>
        <w:t>., м. Київ, 30 червня-1 липня 2003 р. Київ, 2003. С. 12-50.</w:t>
      </w:r>
    </w:p>
    <w:p w:rsidR="00D02534" w:rsidRPr="00D02534" w:rsidRDefault="00D02534" w:rsidP="00D02534">
      <w:pPr>
        <w:numPr>
          <w:ilvl w:val="0"/>
          <w:numId w:val="1"/>
        </w:numPr>
        <w:spacing w:after="0" w:line="360" w:lineRule="auto"/>
        <w:ind w:left="0" w:firstLine="720"/>
        <w:contextualSpacing/>
        <w:jc w:val="both"/>
        <w:rPr>
          <w:rFonts w:ascii="Times New Roman" w:eastAsia="Times New Roman" w:hAnsi="Times New Roman"/>
          <w:bCs/>
          <w:sz w:val="28"/>
          <w:szCs w:val="28"/>
          <w:lang w:val="uk-UA" w:eastAsia="x-none"/>
        </w:rPr>
      </w:pPr>
      <w:r w:rsidRPr="00D02534">
        <w:rPr>
          <w:rFonts w:ascii="Times New Roman" w:eastAsia="Times New Roman" w:hAnsi="Times New Roman"/>
          <w:bCs/>
          <w:sz w:val="28"/>
          <w:szCs w:val="28"/>
          <w:lang w:val="uk-UA" w:eastAsia="x-none"/>
        </w:rPr>
        <w:t xml:space="preserve">Мельник Т. М. Творення суспільства гендерної рівності: міжнародний досвід. Закони зарубіжних країн з гендерної рівності: підручник. Київ: </w:t>
      </w:r>
      <w:proofErr w:type="spellStart"/>
      <w:r w:rsidRPr="00D02534">
        <w:rPr>
          <w:rFonts w:ascii="Times New Roman" w:eastAsia="Times New Roman" w:hAnsi="Times New Roman"/>
          <w:bCs/>
          <w:sz w:val="28"/>
          <w:szCs w:val="28"/>
          <w:lang w:val="uk-UA" w:eastAsia="x-none"/>
        </w:rPr>
        <w:t>Стілос</w:t>
      </w:r>
      <w:proofErr w:type="spellEnd"/>
      <w:r w:rsidRPr="00D02534">
        <w:rPr>
          <w:rFonts w:ascii="Times New Roman" w:eastAsia="Times New Roman" w:hAnsi="Times New Roman"/>
          <w:bCs/>
          <w:sz w:val="28"/>
          <w:szCs w:val="28"/>
          <w:lang w:val="uk-UA" w:eastAsia="x-none"/>
        </w:rPr>
        <w:t>, 2010. 440 с.</w:t>
      </w:r>
    </w:p>
    <w:p w:rsidR="00D02534" w:rsidRPr="00D02534" w:rsidRDefault="00D02534" w:rsidP="00D02534">
      <w:pPr>
        <w:numPr>
          <w:ilvl w:val="0"/>
          <w:numId w:val="1"/>
        </w:numPr>
        <w:spacing w:after="0" w:line="360" w:lineRule="auto"/>
        <w:ind w:left="0" w:firstLine="720"/>
        <w:contextualSpacing/>
        <w:jc w:val="both"/>
        <w:rPr>
          <w:rFonts w:ascii="Times New Roman" w:eastAsia="Times New Roman" w:hAnsi="Times New Roman"/>
          <w:bCs/>
          <w:sz w:val="28"/>
          <w:szCs w:val="28"/>
          <w:lang w:val="uk-UA" w:eastAsia="x-none"/>
        </w:rPr>
      </w:pPr>
      <w:r w:rsidRPr="00D02534">
        <w:rPr>
          <w:rFonts w:ascii="Times New Roman" w:eastAsia="Times New Roman" w:hAnsi="Times New Roman"/>
          <w:bCs/>
          <w:sz w:val="28"/>
          <w:szCs w:val="28"/>
          <w:lang w:val="uk-UA" w:eastAsia="x-none"/>
        </w:rPr>
        <w:t xml:space="preserve">Христова Г. О., </w:t>
      </w:r>
      <w:proofErr w:type="spellStart"/>
      <w:r w:rsidRPr="00D02534">
        <w:rPr>
          <w:rFonts w:ascii="Times New Roman" w:eastAsia="Times New Roman" w:hAnsi="Times New Roman"/>
          <w:bCs/>
          <w:sz w:val="28"/>
          <w:szCs w:val="28"/>
          <w:lang w:val="uk-UA" w:eastAsia="x-none"/>
        </w:rPr>
        <w:t>Кочемировська</w:t>
      </w:r>
      <w:proofErr w:type="spellEnd"/>
      <w:r w:rsidRPr="00D02534">
        <w:rPr>
          <w:rFonts w:ascii="Times New Roman" w:eastAsia="Times New Roman" w:hAnsi="Times New Roman"/>
          <w:bCs/>
          <w:sz w:val="28"/>
          <w:szCs w:val="28"/>
          <w:lang w:val="uk-UA" w:eastAsia="x-none"/>
        </w:rPr>
        <w:t xml:space="preserve"> О. О. Позитивні дії в механізмі забезпечення рівних прав та можливостей жінок і чоловіків: міжнародний досвід та українські перспективи: </w:t>
      </w:r>
      <w:proofErr w:type="spellStart"/>
      <w:r w:rsidRPr="00D02534">
        <w:rPr>
          <w:rFonts w:ascii="Times New Roman" w:eastAsia="Times New Roman" w:hAnsi="Times New Roman"/>
          <w:bCs/>
          <w:sz w:val="28"/>
          <w:szCs w:val="28"/>
          <w:lang w:val="uk-UA" w:eastAsia="x-none"/>
        </w:rPr>
        <w:t>навч</w:t>
      </w:r>
      <w:proofErr w:type="spellEnd"/>
      <w:r w:rsidRPr="00D02534">
        <w:rPr>
          <w:rFonts w:ascii="Times New Roman" w:eastAsia="Times New Roman" w:hAnsi="Times New Roman"/>
          <w:bCs/>
          <w:sz w:val="28"/>
          <w:szCs w:val="28"/>
          <w:lang w:val="uk-UA" w:eastAsia="x-none"/>
        </w:rPr>
        <w:t xml:space="preserve">. посібник. Харків: </w:t>
      </w:r>
      <w:proofErr w:type="spellStart"/>
      <w:r w:rsidRPr="00D02534">
        <w:rPr>
          <w:rFonts w:ascii="Times New Roman" w:eastAsia="Times New Roman" w:hAnsi="Times New Roman"/>
          <w:bCs/>
          <w:sz w:val="28"/>
          <w:szCs w:val="28"/>
          <w:lang w:val="uk-UA" w:eastAsia="x-none"/>
        </w:rPr>
        <w:t>Райдер</w:t>
      </w:r>
      <w:proofErr w:type="spellEnd"/>
      <w:r w:rsidRPr="00D02534">
        <w:rPr>
          <w:rFonts w:ascii="Times New Roman" w:eastAsia="Times New Roman" w:hAnsi="Times New Roman"/>
          <w:bCs/>
          <w:sz w:val="28"/>
          <w:szCs w:val="28"/>
          <w:lang w:val="uk-UA" w:eastAsia="x-none"/>
        </w:rPr>
        <w:t xml:space="preserve">, 2010. 200 с. </w:t>
      </w:r>
    </w:p>
    <w:p w:rsidR="00346206" w:rsidRPr="00346206" w:rsidRDefault="00346206" w:rsidP="00D02534">
      <w:pPr>
        <w:spacing w:after="0" w:line="360" w:lineRule="auto"/>
        <w:contextualSpacing/>
        <w:jc w:val="both"/>
        <w:rPr>
          <w:rFonts w:eastAsia="Times New Roman"/>
          <w:lang w:val="uk-UA" w:eastAsia="ru-RU"/>
        </w:rPr>
      </w:pPr>
    </w:p>
    <w:p w:rsidR="00346206" w:rsidRPr="009B1EBB" w:rsidRDefault="00346206" w:rsidP="009B1EBB">
      <w:pPr>
        <w:shd w:val="clear" w:color="auto" w:fill="FFFFFF"/>
        <w:spacing w:after="0" w:line="240" w:lineRule="auto"/>
        <w:jc w:val="center"/>
        <w:rPr>
          <w:rFonts w:ascii="Times New Roman" w:eastAsia="Times New Roman" w:hAnsi="Times New Roman"/>
          <w:bCs/>
          <w:sz w:val="28"/>
          <w:szCs w:val="28"/>
          <w:lang w:val="uk-UA" w:eastAsia="x-none"/>
        </w:rPr>
      </w:pPr>
    </w:p>
    <w:p w:rsidR="00624DF4" w:rsidRPr="00624DF4" w:rsidRDefault="00624DF4" w:rsidP="009B1EBB">
      <w:pPr>
        <w:shd w:val="clear" w:color="auto" w:fill="FFFFFF"/>
        <w:spacing w:after="0" w:line="240" w:lineRule="auto"/>
        <w:jc w:val="center"/>
        <w:rPr>
          <w:rFonts w:ascii="Times New Roman" w:eastAsia="Times New Roman" w:hAnsi="Times New Roman"/>
          <w:b/>
          <w:bCs/>
          <w:sz w:val="28"/>
          <w:szCs w:val="28"/>
          <w:lang w:val="uk-UA" w:eastAsia="x-none"/>
        </w:rPr>
      </w:pPr>
      <w:r w:rsidRPr="00624DF4">
        <w:rPr>
          <w:rFonts w:ascii="Times New Roman" w:eastAsia="Times New Roman" w:hAnsi="Times New Roman"/>
          <w:b/>
          <w:bCs/>
          <w:sz w:val="28"/>
          <w:szCs w:val="28"/>
          <w:lang w:val="uk-UA" w:eastAsia="x-none"/>
        </w:rPr>
        <w:t>МЕТА ЛЕКЦІЇ</w:t>
      </w:r>
    </w:p>
    <w:p w:rsidR="00624DF4" w:rsidRPr="00624DF4" w:rsidRDefault="00624DF4" w:rsidP="00346206">
      <w:pPr>
        <w:shd w:val="clear" w:color="auto" w:fill="FFFFFF"/>
        <w:spacing w:after="0" w:line="360" w:lineRule="auto"/>
        <w:ind w:firstLine="567"/>
        <w:jc w:val="both"/>
        <w:rPr>
          <w:rFonts w:ascii="Times New Roman" w:eastAsia="Times New Roman" w:hAnsi="Times New Roman"/>
          <w:bCs/>
          <w:sz w:val="28"/>
          <w:szCs w:val="28"/>
          <w:lang w:val="uk-UA" w:eastAsia="x-none"/>
        </w:rPr>
      </w:pPr>
      <w:r w:rsidRPr="00624DF4">
        <w:rPr>
          <w:rFonts w:ascii="Times New Roman" w:eastAsia="Times New Roman" w:hAnsi="Times New Roman"/>
          <w:bCs/>
          <w:sz w:val="28"/>
          <w:szCs w:val="28"/>
          <w:lang w:val="uk-UA" w:eastAsia="x-none"/>
        </w:rPr>
        <w:t xml:space="preserve">Провести аналіз </w:t>
      </w:r>
      <w:r w:rsidR="00346206">
        <w:rPr>
          <w:rFonts w:ascii="Times New Roman" w:eastAsia="Times New Roman" w:hAnsi="Times New Roman"/>
          <w:bCs/>
          <w:sz w:val="28"/>
          <w:szCs w:val="28"/>
          <w:lang w:val="uk-UA" w:eastAsia="x-none"/>
        </w:rPr>
        <w:t xml:space="preserve">міжнародних </w:t>
      </w:r>
      <w:r w:rsidRPr="00624DF4">
        <w:rPr>
          <w:rFonts w:ascii="Times New Roman" w:eastAsia="Times New Roman" w:hAnsi="Times New Roman"/>
          <w:bCs/>
          <w:sz w:val="28"/>
          <w:szCs w:val="28"/>
          <w:lang w:val="uk-UA" w:eastAsia="x-none"/>
        </w:rPr>
        <w:t xml:space="preserve">засад </w:t>
      </w:r>
      <w:r w:rsidR="00346206">
        <w:rPr>
          <w:rFonts w:ascii="Times New Roman" w:eastAsia="Times New Roman" w:hAnsi="Times New Roman"/>
          <w:bCs/>
          <w:sz w:val="28"/>
          <w:szCs w:val="28"/>
          <w:lang w:val="uk-UA" w:eastAsia="x-none"/>
        </w:rPr>
        <w:t xml:space="preserve">забезпечення </w:t>
      </w:r>
      <w:r w:rsidRPr="00624DF4">
        <w:rPr>
          <w:rFonts w:ascii="Times New Roman" w:eastAsia="Times New Roman" w:hAnsi="Times New Roman"/>
          <w:bCs/>
          <w:sz w:val="28"/>
          <w:szCs w:val="28"/>
          <w:lang w:val="uk-UA" w:eastAsia="x-none"/>
        </w:rPr>
        <w:t>принципу </w:t>
      </w:r>
      <w:hyperlink r:id="rId6" w:tooltip="Гендер у поняттях: Гендер" w:history="1">
        <w:r w:rsidRPr="009B1EBB">
          <w:rPr>
            <w:rFonts w:ascii="Times New Roman" w:eastAsia="Times New Roman" w:hAnsi="Times New Roman"/>
            <w:bCs/>
            <w:sz w:val="28"/>
            <w:szCs w:val="28"/>
            <w:lang w:val="uk-UA" w:eastAsia="x-none"/>
          </w:rPr>
          <w:t>гендер</w:t>
        </w:r>
      </w:hyperlink>
      <w:r w:rsidR="00346206">
        <w:rPr>
          <w:rFonts w:ascii="Times New Roman" w:eastAsia="Times New Roman" w:hAnsi="Times New Roman"/>
          <w:bCs/>
          <w:sz w:val="28"/>
          <w:szCs w:val="28"/>
          <w:lang w:val="uk-UA" w:eastAsia="x-none"/>
        </w:rPr>
        <w:t>ної рівності для розуміння відповідності національного законодавства цінностям світового співтовариства</w:t>
      </w:r>
      <w:r w:rsidRPr="00624DF4">
        <w:rPr>
          <w:rFonts w:ascii="Times New Roman" w:eastAsia="Times New Roman" w:hAnsi="Times New Roman"/>
          <w:bCs/>
          <w:sz w:val="28"/>
          <w:szCs w:val="28"/>
          <w:lang w:val="uk-UA" w:eastAsia="x-none"/>
        </w:rPr>
        <w:t xml:space="preserve">; охарактеризувати основні </w:t>
      </w:r>
      <w:r w:rsidR="00346206">
        <w:rPr>
          <w:rFonts w:ascii="Times New Roman" w:eastAsia="Times New Roman" w:hAnsi="Times New Roman"/>
          <w:bCs/>
          <w:sz w:val="28"/>
          <w:szCs w:val="28"/>
          <w:lang w:val="uk-UA" w:eastAsia="x-none"/>
        </w:rPr>
        <w:t xml:space="preserve">міжнародні організації, </w:t>
      </w:r>
      <w:r w:rsidRPr="00624DF4">
        <w:rPr>
          <w:rFonts w:ascii="Times New Roman" w:eastAsia="Times New Roman" w:hAnsi="Times New Roman"/>
          <w:bCs/>
          <w:sz w:val="28"/>
          <w:szCs w:val="28"/>
          <w:lang w:val="uk-UA" w:eastAsia="x-none"/>
        </w:rPr>
        <w:t>що забезпечують </w:t>
      </w:r>
      <w:hyperlink r:id="rId7" w:tooltip="Гендер у поняттях: Гендер" w:history="1">
        <w:r w:rsidRPr="009B1EBB">
          <w:rPr>
            <w:rFonts w:ascii="Times New Roman" w:eastAsia="Times New Roman" w:hAnsi="Times New Roman"/>
            <w:bCs/>
            <w:sz w:val="28"/>
            <w:szCs w:val="28"/>
            <w:lang w:val="uk-UA" w:eastAsia="x-none"/>
          </w:rPr>
          <w:t>гендер</w:t>
        </w:r>
      </w:hyperlink>
      <w:r w:rsidRPr="00624DF4">
        <w:rPr>
          <w:rFonts w:ascii="Times New Roman" w:eastAsia="Times New Roman" w:hAnsi="Times New Roman"/>
          <w:bCs/>
          <w:sz w:val="28"/>
          <w:szCs w:val="28"/>
          <w:lang w:val="uk-UA" w:eastAsia="x-none"/>
        </w:rPr>
        <w:t xml:space="preserve">ну рівність </w:t>
      </w:r>
    </w:p>
    <w:p w:rsidR="00624DF4" w:rsidRPr="00624DF4" w:rsidRDefault="00624DF4" w:rsidP="009B1EBB">
      <w:pPr>
        <w:shd w:val="clear" w:color="auto" w:fill="FFFFFF"/>
        <w:spacing w:after="0" w:line="240" w:lineRule="auto"/>
        <w:jc w:val="center"/>
        <w:rPr>
          <w:rFonts w:ascii="Times New Roman" w:eastAsia="Times New Roman" w:hAnsi="Times New Roman"/>
          <w:bCs/>
          <w:sz w:val="28"/>
          <w:szCs w:val="28"/>
          <w:lang w:val="uk-UA" w:eastAsia="x-none"/>
        </w:rPr>
      </w:pPr>
    </w:p>
    <w:p w:rsidR="00624DF4" w:rsidRPr="00624DF4" w:rsidRDefault="00624DF4" w:rsidP="009B1EBB">
      <w:pPr>
        <w:shd w:val="clear" w:color="auto" w:fill="FFFFFF"/>
        <w:spacing w:after="0" w:line="240" w:lineRule="auto"/>
        <w:jc w:val="center"/>
        <w:rPr>
          <w:rFonts w:ascii="Times New Roman" w:eastAsia="Times New Roman" w:hAnsi="Times New Roman"/>
          <w:b/>
          <w:bCs/>
          <w:sz w:val="28"/>
          <w:szCs w:val="28"/>
          <w:lang w:val="uk-UA" w:eastAsia="x-none"/>
        </w:rPr>
      </w:pPr>
      <w:r w:rsidRPr="00624DF4">
        <w:rPr>
          <w:rFonts w:ascii="Times New Roman" w:eastAsia="Times New Roman" w:hAnsi="Times New Roman"/>
          <w:b/>
          <w:bCs/>
          <w:sz w:val="28"/>
          <w:szCs w:val="28"/>
          <w:lang w:val="uk-UA" w:eastAsia="x-none"/>
        </w:rPr>
        <w:t>ВСТУП</w:t>
      </w:r>
    </w:p>
    <w:p w:rsidR="00624DF4" w:rsidRDefault="00624DF4" w:rsidP="009B1EBB">
      <w:pPr>
        <w:pStyle w:val="HTML"/>
        <w:shd w:val="clear" w:color="auto" w:fill="FFFFFF"/>
        <w:tabs>
          <w:tab w:val="left" w:pos="0"/>
        </w:tabs>
        <w:spacing w:line="360" w:lineRule="auto"/>
        <w:ind w:firstLine="567"/>
        <w:jc w:val="center"/>
        <w:textAlignment w:val="baseline"/>
        <w:rPr>
          <w:rStyle w:val="rvts23"/>
          <w:rFonts w:ascii="Times New Roman" w:hAnsi="Times New Roman"/>
          <w:b/>
          <w:sz w:val="28"/>
          <w:szCs w:val="28"/>
          <w:lang w:val="uk-UA"/>
        </w:rPr>
      </w:pPr>
    </w:p>
    <w:p w:rsidR="00BE75AC" w:rsidRPr="00BE75AC" w:rsidRDefault="00BE75AC" w:rsidP="00BE75AC">
      <w:pPr>
        <w:spacing w:after="0" w:line="360" w:lineRule="auto"/>
        <w:ind w:firstLine="567"/>
        <w:jc w:val="both"/>
        <w:rPr>
          <w:rFonts w:ascii="Times New Roman" w:hAnsi="Times New Roman"/>
          <w:sz w:val="28"/>
          <w:szCs w:val="28"/>
          <w:lang w:val="uk-UA"/>
        </w:rPr>
      </w:pPr>
      <w:r w:rsidRPr="00BE75AC">
        <w:rPr>
          <w:rFonts w:ascii="Times New Roman" w:hAnsi="Times New Roman"/>
          <w:sz w:val="28"/>
          <w:szCs w:val="28"/>
          <w:lang w:val="uk-UA"/>
        </w:rPr>
        <w:t>У XXІ ст. однією з головних ознак демократичного розвитку суспільства є ліквідація різних форм дискримінації, подолання гендерної нерівності. Разом із тим у низці держав світу, які обрали демократичний шлях розвитку, у тому числі і в Україні, тією чи іншою мірою продовжує існувати гендерний дисбаланс у кожній сфері життєдіяльності, що об’єктивно унеможливлює повноцінне функціонування публічних структур та приватної сфери. Відсутність гендерної рівності зумовлює появу деструктивних процесів у суспільстві, утворює перепони на шляху до соціальної єдності та, як наслідок, призупиняє сталий людський розвиток і процвітання. Тому забезпечення рівності жінок і чоловіків є одним із головних питань становлення Української держави.</w:t>
      </w:r>
    </w:p>
    <w:p w:rsidR="00BE75AC" w:rsidRPr="00BE75AC" w:rsidRDefault="00BE75AC" w:rsidP="00BE75AC">
      <w:pPr>
        <w:spacing w:after="0" w:line="360" w:lineRule="auto"/>
        <w:ind w:firstLine="567"/>
        <w:jc w:val="both"/>
        <w:rPr>
          <w:rFonts w:ascii="Times New Roman" w:hAnsi="Times New Roman"/>
          <w:bCs/>
          <w:sz w:val="28"/>
          <w:szCs w:val="28"/>
          <w:lang w:val="uk-UA"/>
        </w:rPr>
      </w:pPr>
      <w:r w:rsidRPr="00BE75AC">
        <w:rPr>
          <w:rFonts w:ascii="Times New Roman" w:hAnsi="Times New Roman"/>
          <w:bCs/>
          <w:sz w:val="28"/>
          <w:szCs w:val="28"/>
          <w:lang w:val="uk-UA"/>
        </w:rPr>
        <w:t xml:space="preserve">Зауважимо, якщо донедавна проблема гендерної рівності в Україні мала здебільшого абстрактно-теоретичний характер, виступала частиною ідеологічної складової певних політичних партій, неурядових організацій з </w:t>
      </w:r>
      <w:r w:rsidRPr="00BE75AC">
        <w:rPr>
          <w:rFonts w:ascii="Times New Roman" w:hAnsi="Times New Roman"/>
          <w:bCs/>
          <w:sz w:val="28"/>
          <w:szCs w:val="28"/>
          <w:lang w:val="uk-UA"/>
        </w:rPr>
        <w:lastRenderedPageBreak/>
        <w:t xml:space="preserve">метою </w:t>
      </w:r>
      <w:proofErr w:type="spellStart"/>
      <w:r w:rsidRPr="00BE75AC">
        <w:rPr>
          <w:rFonts w:ascii="Times New Roman" w:hAnsi="Times New Roman"/>
          <w:bCs/>
          <w:sz w:val="28"/>
          <w:szCs w:val="28"/>
          <w:lang w:val="uk-UA"/>
        </w:rPr>
        <w:t>популяризувації</w:t>
      </w:r>
      <w:proofErr w:type="spellEnd"/>
      <w:r w:rsidRPr="00BE75AC">
        <w:rPr>
          <w:rFonts w:ascii="Times New Roman" w:hAnsi="Times New Roman"/>
          <w:bCs/>
          <w:sz w:val="28"/>
          <w:szCs w:val="28"/>
          <w:lang w:val="uk-UA"/>
        </w:rPr>
        <w:t xml:space="preserve"> їх діяльності як рухів з європейськими цінностями, то нині дослідження цієї тематики має безпосереднє відношення та вплив на правотворчість і правозастосовний процес.</w:t>
      </w:r>
    </w:p>
    <w:p w:rsidR="00D02534" w:rsidRDefault="00D02534" w:rsidP="009B1EBB">
      <w:pPr>
        <w:pStyle w:val="HTML"/>
        <w:shd w:val="clear" w:color="auto" w:fill="FFFFFF"/>
        <w:tabs>
          <w:tab w:val="left" w:pos="0"/>
        </w:tabs>
        <w:spacing w:line="360" w:lineRule="auto"/>
        <w:ind w:firstLine="567"/>
        <w:jc w:val="center"/>
        <w:textAlignment w:val="baseline"/>
        <w:rPr>
          <w:rStyle w:val="rvts23"/>
          <w:rFonts w:ascii="Times New Roman" w:hAnsi="Times New Roman"/>
          <w:b/>
          <w:sz w:val="28"/>
          <w:szCs w:val="28"/>
          <w:lang w:val="uk-UA"/>
        </w:rPr>
      </w:pPr>
    </w:p>
    <w:p w:rsidR="007B3484" w:rsidRPr="007B3484" w:rsidRDefault="007B3484" w:rsidP="009B1EBB">
      <w:pPr>
        <w:pStyle w:val="HTML"/>
        <w:shd w:val="clear" w:color="auto" w:fill="FFFFFF"/>
        <w:tabs>
          <w:tab w:val="left" w:pos="0"/>
        </w:tabs>
        <w:spacing w:line="360" w:lineRule="auto"/>
        <w:ind w:firstLine="567"/>
        <w:jc w:val="center"/>
        <w:textAlignment w:val="baseline"/>
        <w:rPr>
          <w:rStyle w:val="rvts23"/>
          <w:rFonts w:ascii="Times New Roman" w:hAnsi="Times New Roman"/>
          <w:b/>
          <w:sz w:val="28"/>
          <w:szCs w:val="28"/>
          <w:lang w:val="uk-UA"/>
        </w:rPr>
      </w:pPr>
      <w:r w:rsidRPr="007B3484">
        <w:rPr>
          <w:rStyle w:val="rvts23"/>
          <w:rFonts w:ascii="Times New Roman" w:hAnsi="Times New Roman"/>
          <w:b/>
          <w:sz w:val="28"/>
          <w:szCs w:val="28"/>
          <w:lang w:val="uk-UA"/>
        </w:rPr>
        <w:t>І. ОСНОВНІ МІЖНАРОДНІ АКТИ, ЩО ВИЗНАЧАЮТЬ СТАНДАРТИ</w:t>
      </w:r>
      <w:r>
        <w:rPr>
          <w:rStyle w:val="rvts23"/>
          <w:rFonts w:ascii="Times New Roman" w:hAnsi="Times New Roman"/>
          <w:b/>
          <w:sz w:val="28"/>
          <w:szCs w:val="28"/>
          <w:lang w:val="uk-UA"/>
        </w:rPr>
        <w:t xml:space="preserve"> ГЕНДЕРНОЇ</w:t>
      </w:r>
      <w:r w:rsidRPr="007B3484">
        <w:rPr>
          <w:rStyle w:val="rvts23"/>
          <w:rFonts w:ascii="Times New Roman" w:hAnsi="Times New Roman"/>
          <w:b/>
          <w:sz w:val="28"/>
          <w:szCs w:val="28"/>
          <w:lang w:val="uk-UA"/>
        </w:rPr>
        <w:t xml:space="preserve"> РІВНОСТІ</w:t>
      </w:r>
    </w:p>
    <w:p w:rsidR="007B3484" w:rsidRPr="00F97C70" w:rsidRDefault="007B3484" w:rsidP="009B1EBB">
      <w:pPr>
        <w:pStyle w:val="HTML"/>
        <w:shd w:val="clear" w:color="auto" w:fill="FFFFFF"/>
        <w:tabs>
          <w:tab w:val="left" w:pos="0"/>
        </w:tabs>
        <w:spacing w:line="360" w:lineRule="auto"/>
        <w:ind w:firstLine="567"/>
        <w:jc w:val="both"/>
        <w:textAlignment w:val="baseline"/>
        <w:rPr>
          <w:rStyle w:val="rvts23"/>
          <w:rFonts w:ascii="Times New Roman" w:hAnsi="Times New Roman"/>
          <w:sz w:val="28"/>
          <w:szCs w:val="28"/>
          <w:lang w:val="uk-UA"/>
        </w:rPr>
      </w:pPr>
      <w:r w:rsidRPr="00F97C70">
        <w:rPr>
          <w:rStyle w:val="rvts23"/>
          <w:rFonts w:ascii="Times New Roman" w:hAnsi="Times New Roman"/>
          <w:sz w:val="28"/>
          <w:szCs w:val="28"/>
          <w:lang w:val="uk-UA"/>
        </w:rPr>
        <w:t>В Україні, формування національного законодавства, що закріплює рівність чоловіків і жінок відбувається під впливом міжнародних стандартів у сфері прав людини та гендерної рівності.</w:t>
      </w:r>
    </w:p>
    <w:p w:rsidR="007B3484" w:rsidRPr="00F97C70" w:rsidRDefault="007B3484" w:rsidP="009B1EBB">
      <w:pPr>
        <w:spacing w:after="0" w:line="360" w:lineRule="auto"/>
        <w:ind w:firstLine="567"/>
        <w:jc w:val="both"/>
        <w:rPr>
          <w:rFonts w:ascii="Times New Roman" w:eastAsia="Times New Roman" w:hAnsi="Times New Roman"/>
          <w:sz w:val="28"/>
          <w:szCs w:val="28"/>
          <w:lang w:val="uk-UA" w:eastAsia="ru-RU"/>
        </w:rPr>
      </w:pPr>
      <w:r w:rsidRPr="00F97C70">
        <w:rPr>
          <w:rFonts w:ascii="Times New Roman" w:eastAsia="Times New Roman" w:hAnsi="Times New Roman"/>
          <w:sz w:val="28"/>
          <w:szCs w:val="28"/>
          <w:lang w:val="uk-UA" w:eastAsia="ru-RU"/>
        </w:rPr>
        <w:t xml:space="preserve">Нормотворчу діяльність щодо забезпечення принципу гендерної рівності на міжнародному рівні здійснюють ООН, Рада Європи, Європейський Союз, ОБСЄ та інші міжнародні організації. Україна, поділяючи цінності міжнародного співтовариства, приєдналась до переважної більшості міжнародних актів у цій сфері. </w:t>
      </w:r>
    </w:p>
    <w:p w:rsidR="007B3484" w:rsidRPr="00F97C70" w:rsidRDefault="007B3484" w:rsidP="009B1EBB">
      <w:pPr>
        <w:spacing w:after="0" w:line="360" w:lineRule="auto"/>
        <w:ind w:firstLine="567"/>
        <w:jc w:val="both"/>
        <w:rPr>
          <w:rFonts w:ascii="Times New Roman" w:eastAsia="Times New Roman" w:hAnsi="Times New Roman"/>
          <w:sz w:val="28"/>
          <w:szCs w:val="28"/>
          <w:lang w:val="uk-UA" w:eastAsia="ru-RU"/>
        </w:rPr>
      </w:pPr>
      <w:r w:rsidRPr="00F97C70">
        <w:rPr>
          <w:rFonts w:ascii="Times New Roman" w:eastAsia="Times New Roman" w:hAnsi="Times New Roman"/>
          <w:sz w:val="28"/>
          <w:szCs w:val="28"/>
          <w:lang w:val="uk-UA" w:eastAsia="ru-RU"/>
        </w:rPr>
        <w:t xml:space="preserve">Основні міжнародні акти, що визначають стандарти рівності людей, їх соціальну цінність незалежно від статі можна поділити на загальні та спеціальні. Так, до загальних відносяться: Загальна декларація прав людини від 1948 р., Конвенція про захист прав людини і основоположних свобод від 1950 р., Міжнародний пакт про громадські та політичні права від 1966 р., Пакт про соціально-економічні та культурні права від 1966 р. та інші. </w:t>
      </w:r>
    </w:p>
    <w:p w:rsidR="007B3484" w:rsidRPr="00F97C70" w:rsidRDefault="007B3484" w:rsidP="009B1EBB">
      <w:pPr>
        <w:pStyle w:val="a3"/>
        <w:shd w:val="clear" w:color="auto" w:fill="FFFFFF"/>
        <w:spacing w:before="0" w:beforeAutospacing="0" w:after="0" w:afterAutospacing="0" w:line="360" w:lineRule="auto"/>
        <w:ind w:firstLine="567"/>
        <w:jc w:val="both"/>
        <w:textAlignment w:val="baseline"/>
        <w:rPr>
          <w:sz w:val="28"/>
          <w:szCs w:val="28"/>
          <w:lang w:val="uk-UA"/>
        </w:rPr>
      </w:pPr>
      <w:r w:rsidRPr="00F97C70">
        <w:rPr>
          <w:sz w:val="28"/>
          <w:szCs w:val="28"/>
          <w:lang w:val="uk-UA"/>
        </w:rPr>
        <w:t>Після оприлюднення Загальної декларації прав людини</w:t>
      </w:r>
      <w:r w:rsidRPr="00F97C70">
        <w:rPr>
          <w:lang w:val="uk-UA"/>
        </w:rPr>
        <w:t xml:space="preserve"> </w:t>
      </w:r>
      <w:r w:rsidRPr="00F97C70">
        <w:rPr>
          <w:sz w:val="28"/>
          <w:szCs w:val="28"/>
          <w:lang w:val="uk-UA"/>
        </w:rPr>
        <w:t xml:space="preserve">від 1948 р., виникла потреба у створенні окремого документа, присвяченого правам жінок. Проблема була пов’язана з тим, що існуючі декларації не допомагали ліквідувати нерівність чоловіків та жінок у різних сферах та різних країнах. Це зумовило розробку системи спеціальних актів для закріплення міжнародних стандартів, які мали б активізувати роботу держав-членів ООН у сфері </w:t>
      </w:r>
      <w:r>
        <w:rPr>
          <w:sz w:val="28"/>
          <w:szCs w:val="28"/>
          <w:lang w:val="uk-UA"/>
        </w:rPr>
        <w:t>утвердження</w:t>
      </w:r>
      <w:r w:rsidRPr="00F97C70">
        <w:rPr>
          <w:sz w:val="28"/>
          <w:szCs w:val="28"/>
          <w:lang w:val="uk-UA"/>
        </w:rPr>
        <w:t xml:space="preserve"> рівних прав та можливостей чоловіків і жінок. </w:t>
      </w:r>
    </w:p>
    <w:p w:rsidR="007B3484" w:rsidRPr="00F97C70" w:rsidRDefault="007B3484" w:rsidP="009B1EBB">
      <w:pPr>
        <w:spacing w:after="0" w:line="360" w:lineRule="auto"/>
        <w:ind w:firstLine="567"/>
        <w:jc w:val="both"/>
        <w:rPr>
          <w:rFonts w:ascii="Times New Roman" w:eastAsia="Times New Roman" w:hAnsi="Times New Roman"/>
          <w:sz w:val="28"/>
          <w:szCs w:val="28"/>
          <w:lang w:val="uk-UA" w:eastAsia="ru-RU"/>
        </w:rPr>
      </w:pPr>
      <w:r w:rsidRPr="00F97C70">
        <w:rPr>
          <w:rFonts w:ascii="Times New Roman" w:eastAsia="Times New Roman" w:hAnsi="Times New Roman"/>
          <w:sz w:val="28"/>
          <w:szCs w:val="28"/>
          <w:lang w:val="uk-UA" w:eastAsia="ru-RU"/>
        </w:rPr>
        <w:t xml:space="preserve">Міжнародні стандарти </w:t>
      </w:r>
      <w:r>
        <w:rPr>
          <w:rFonts w:ascii="Times New Roman" w:eastAsia="Times New Roman" w:hAnsi="Times New Roman"/>
          <w:sz w:val="28"/>
          <w:szCs w:val="28"/>
          <w:lang w:val="uk-UA" w:eastAsia="ru-RU"/>
        </w:rPr>
        <w:t>гарантування</w:t>
      </w:r>
      <w:r w:rsidRPr="00F97C70">
        <w:rPr>
          <w:rFonts w:ascii="Times New Roman" w:eastAsia="Times New Roman" w:hAnsi="Times New Roman"/>
          <w:sz w:val="28"/>
          <w:szCs w:val="28"/>
          <w:lang w:val="uk-UA" w:eastAsia="ru-RU"/>
        </w:rPr>
        <w:t xml:space="preserve"> гендерної рівності, недискримінації та захисту від </w:t>
      </w:r>
      <w:proofErr w:type="spellStart"/>
      <w:r w:rsidRPr="00F97C70">
        <w:rPr>
          <w:rFonts w:ascii="Times New Roman" w:eastAsia="Times New Roman" w:hAnsi="Times New Roman"/>
          <w:sz w:val="28"/>
          <w:szCs w:val="28"/>
          <w:lang w:val="uk-UA" w:eastAsia="ru-RU"/>
        </w:rPr>
        <w:t>гендерно</w:t>
      </w:r>
      <w:proofErr w:type="spellEnd"/>
      <w:r w:rsidRPr="00F97C70">
        <w:rPr>
          <w:rFonts w:ascii="Times New Roman" w:eastAsia="Times New Roman" w:hAnsi="Times New Roman"/>
          <w:sz w:val="28"/>
          <w:szCs w:val="28"/>
          <w:lang w:val="uk-UA" w:eastAsia="ru-RU"/>
        </w:rPr>
        <w:t xml:space="preserve"> обумовленого насильства закріплені в таких спеціальних міжнародних актах ООН, як: Конвенція про політичні права </w:t>
      </w:r>
      <w:r w:rsidRPr="00F97C70">
        <w:rPr>
          <w:rFonts w:ascii="Times New Roman" w:eastAsia="Times New Roman" w:hAnsi="Times New Roman"/>
          <w:sz w:val="28"/>
          <w:szCs w:val="28"/>
          <w:lang w:val="uk-UA" w:eastAsia="ru-RU"/>
        </w:rPr>
        <w:lastRenderedPageBreak/>
        <w:t>жінок від 1952 р., Конвенція про ліквідацію всіх форм дискримінації щодо жінок від 1979 р., Статут Організації Об'єднаних Націй від 1945 р., Конвенція про боротьбу з торгівлею людьми і з експлуатацією проституції третіми особами від 1949 р.,</w:t>
      </w:r>
      <w:r w:rsidRPr="00F97C70">
        <w:rPr>
          <w:sz w:val="28"/>
          <w:szCs w:val="28"/>
          <w:lang w:val="uk-UA"/>
        </w:rPr>
        <w:t xml:space="preserve"> </w:t>
      </w:r>
      <w:r w:rsidRPr="00F97C70">
        <w:rPr>
          <w:rFonts w:ascii="Times New Roman" w:eastAsia="Times New Roman" w:hAnsi="Times New Roman"/>
          <w:sz w:val="28"/>
          <w:szCs w:val="28"/>
          <w:lang w:val="uk-UA" w:eastAsia="ru-RU"/>
        </w:rPr>
        <w:t xml:space="preserve">Декларація про ліквідацію дискримінації у відношенні жінок від 1967 р., Резолюція Ради Безпеки ООН №1325(2000) «Жінки. Мир. Безпека» та інших резолюціях у цій сфері. </w:t>
      </w:r>
    </w:p>
    <w:p w:rsidR="00261F25" w:rsidRPr="00261F25" w:rsidRDefault="00261F25" w:rsidP="00261F25">
      <w:pPr>
        <w:spacing w:after="0" w:line="360" w:lineRule="auto"/>
        <w:ind w:firstLine="567"/>
        <w:jc w:val="both"/>
        <w:rPr>
          <w:rFonts w:ascii="Times New Roman" w:eastAsia="Times New Roman" w:hAnsi="Times New Roman"/>
          <w:sz w:val="28"/>
          <w:szCs w:val="28"/>
          <w:lang w:eastAsia="ru-RU"/>
        </w:rPr>
      </w:pPr>
      <w:r w:rsidRPr="00D82727">
        <w:rPr>
          <w:rFonts w:ascii="Times New Roman" w:eastAsia="Times New Roman" w:hAnsi="Times New Roman"/>
          <w:sz w:val="28"/>
          <w:szCs w:val="28"/>
          <w:lang w:val="uk-UA" w:eastAsia="ru-RU"/>
        </w:rPr>
        <w:t>У 1995 році на 4</w:t>
      </w:r>
      <w:r w:rsidR="00D82727">
        <w:rPr>
          <w:rFonts w:ascii="Times New Roman" w:eastAsia="Times New Roman" w:hAnsi="Times New Roman"/>
          <w:sz w:val="28"/>
          <w:szCs w:val="28"/>
          <w:lang w:val="uk-UA" w:eastAsia="ru-RU"/>
        </w:rPr>
        <w:t>-</w:t>
      </w:r>
      <w:r w:rsidR="00D85EB4">
        <w:rPr>
          <w:rFonts w:ascii="Times New Roman" w:eastAsia="Times New Roman" w:hAnsi="Times New Roman"/>
          <w:sz w:val="28"/>
          <w:szCs w:val="28"/>
          <w:lang w:val="uk-UA" w:eastAsia="ru-RU"/>
        </w:rPr>
        <w:t>й Всесвітній конференції жінок</w:t>
      </w:r>
      <w:r w:rsidRPr="00D82727">
        <w:rPr>
          <w:rFonts w:ascii="Times New Roman" w:eastAsia="Times New Roman" w:hAnsi="Times New Roman"/>
          <w:sz w:val="28"/>
          <w:szCs w:val="28"/>
          <w:lang w:val="uk-UA" w:eastAsia="ru-RU"/>
        </w:rPr>
        <w:t xml:space="preserve"> була прийнята Пекінська декларація та Платформа Дій. </w:t>
      </w:r>
      <w:proofErr w:type="spellStart"/>
      <w:r w:rsidRPr="00261F25">
        <w:rPr>
          <w:rFonts w:ascii="Times New Roman" w:eastAsia="Times New Roman" w:hAnsi="Times New Roman"/>
          <w:sz w:val="28"/>
          <w:szCs w:val="28"/>
          <w:lang w:eastAsia="ru-RU"/>
        </w:rPr>
        <w:t>Цим</w:t>
      </w:r>
      <w:proofErr w:type="spellEnd"/>
      <w:r w:rsidRPr="00261F25">
        <w:rPr>
          <w:rFonts w:ascii="Times New Roman" w:eastAsia="Times New Roman" w:hAnsi="Times New Roman"/>
          <w:sz w:val="28"/>
          <w:szCs w:val="28"/>
          <w:lang w:eastAsia="ru-RU"/>
        </w:rPr>
        <w:t xml:space="preserve"> документом </w:t>
      </w:r>
      <w:proofErr w:type="spellStart"/>
      <w:r w:rsidRPr="00261F25">
        <w:rPr>
          <w:rFonts w:ascii="Times New Roman" w:eastAsia="Times New Roman" w:hAnsi="Times New Roman"/>
          <w:sz w:val="28"/>
          <w:szCs w:val="28"/>
          <w:lang w:eastAsia="ru-RU"/>
        </w:rPr>
        <w:t>визначаються</w:t>
      </w:r>
      <w:proofErr w:type="spellEnd"/>
      <w:r w:rsidRPr="00261F25">
        <w:rPr>
          <w:rFonts w:ascii="Times New Roman" w:eastAsia="Times New Roman" w:hAnsi="Times New Roman"/>
          <w:sz w:val="28"/>
          <w:szCs w:val="28"/>
          <w:lang w:eastAsia="ru-RU"/>
        </w:rPr>
        <w:t xml:space="preserve"> </w:t>
      </w:r>
      <w:proofErr w:type="spellStart"/>
      <w:r w:rsidRPr="00261F25">
        <w:rPr>
          <w:rFonts w:ascii="Times New Roman" w:eastAsia="Times New Roman" w:hAnsi="Times New Roman"/>
          <w:sz w:val="28"/>
          <w:szCs w:val="28"/>
          <w:lang w:eastAsia="ru-RU"/>
        </w:rPr>
        <w:t>зобов’язання</w:t>
      </w:r>
      <w:proofErr w:type="spellEnd"/>
      <w:r w:rsidRPr="00261F25">
        <w:rPr>
          <w:rFonts w:ascii="Times New Roman" w:eastAsia="Times New Roman" w:hAnsi="Times New Roman"/>
          <w:sz w:val="28"/>
          <w:szCs w:val="28"/>
          <w:lang w:eastAsia="ru-RU"/>
        </w:rPr>
        <w:t xml:space="preserve"> держав </w:t>
      </w:r>
      <w:proofErr w:type="spellStart"/>
      <w:r w:rsidRPr="00261F25">
        <w:rPr>
          <w:rFonts w:ascii="Times New Roman" w:eastAsia="Times New Roman" w:hAnsi="Times New Roman"/>
          <w:sz w:val="28"/>
          <w:szCs w:val="28"/>
          <w:lang w:eastAsia="ru-RU"/>
        </w:rPr>
        <w:t>щодо</w:t>
      </w:r>
      <w:proofErr w:type="spellEnd"/>
      <w:r w:rsidRPr="00261F25">
        <w:rPr>
          <w:rFonts w:ascii="Times New Roman" w:eastAsia="Times New Roman" w:hAnsi="Times New Roman"/>
          <w:sz w:val="28"/>
          <w:szCs w:val="28"/>
          <w:lang w:eastAsia="ru-RU"/>
        </w:rPr>
        <w:t xml:space="preserve"> </w:t>
      </w:r>
      <w:proofErr w:type="spellStart"/>
      <w:r w:rsidRPr="00261F25">
        <w:rPr>
          <w:rFonts w:ascii="Times New Roman" w:eastAsia="Times New Roman" w:hAnsi="Times New Roman"/>
          <w:sz w:val="28"/>
          <w:szCs w:val="28"/>
          <w:lang w:eastAsia="ru-RU"/>
        </w:rPr>
        <w:t>розширенню</w:t>
      </w:r>
      <w:proofErr w:type="spellEnd"/>
      <w:r w:rsidRPr="00261F25">
        <w:rPr>
          <w:rFonts w:ascii="Times New Roman" w:eastAsia="Times New Roman" w:hAnsi="Times New Roman"/>
          <w:sz w:val="28"/>
          <w:szCs w:val="28"/>
          <w:lang w:eastAsia="ru-RU"/>
        </w:rPr>
        <w:t xml:space="preserve"> </w:t>
      </w:r>
      <w:proofErr w:type="gramStart"/>
      <w:r w:rsidRPr="00261F25">
        <w:rPr>
          <w:rFonts w:ascii="Times New Roman" w:eastAsia="Times New Roman" w:hAnsi="Times New Roman"/>
          <w:sz w:val="28"/>
          <w:szCs w:val="28"/>
          <w:lang w:eastAsia="ru-RU"/>
        </w:rPr>
        <w:t xml:space="preserve">прав </w:t>
      </w:r>
      <w:proofErr w:type="spellStart"/>
      <w:r w:rsidRPr="00261F25">
        <w:rPr>
          <w:rFonts w:ascii="Times New Roman" w:eastAsia="Times New Roman" w:hAnsi="Times New Roman"/>
          <w:sz w:val="28"/>
          <w:szCs w:val="28"/>
          <w:lang w:eastAsia="ru-RU"/>
        </w:rPr>
        <w:t>ж</w:t>
      </w:r>
      <w:proofErr w:type="gramEnd"/>
      <w:r w:rsidRPr="00261F25">
        <w:rPr>
          <w:rFonts w:ascii="Times New Roman" w:eastAsia="Times New Roman" w:hAnsi="Times New Roman"/>
          <w:sz w:val="28"/>
          <w:szCs w:val="28"/>
          <w:lang w:eastAsia="ru-RU"/>
        </w:rPr>
        <w:t>інок</w:t>
      </w:r>
      <w:proofErr w:type="spellEnd"/>
      <w:r w:rsidRPr="00261F25">
        <w:rPr>
          <w:rFonts w:ascii="Times New Roman" w:eastAsia="Times New Roman" w:hAnsi="Times New Roman"/>
          <w:sz w:val="28"/>
          <w:szCs w:val="28"/>
          <w:lang w:eastAsia="ru-RU"/>
        </w:rPr>
        <w:t xml:space="preserve">. </w:t>
      </w:r>
      <w:proofErr w:type="spellStart"/>
      <w:r w:rsidRPr="00261F25">
        <w:rPr>
          <w:rFonts w:ascii="Times New Roman" w:eastAsia="Times New Roman" w:hAnsi="Times New Roman"/>
          <w:sz w:val="28"/>
          <w:szCs w:val="28"/>
          <w:lang w:eastAsia="ru-RU"/>
        </w:rPr>
        <w:t>Під</w:t>
      </w:r>
      <w:proofErr w:type="spellEnd"/>
      <w:r w:rsidRPr="00261F25">
        <w:rPr>
          <w:rFonts w:ascii="Times New Roman" w:eastAsia="Times New Roman" w:hAnsi="Times New Roman"/>
          <w:sz w:val="28"/>
          <w:szCs w:val="28"/>
          <w:lang w:eastAsia="ru-RU"/>
        </w:rPr>
        <w:t xml:space="preserve"> час Глобального </w:t>
      </w:r>
      <w:proofErr w:type="spellStart"/>
      <w:r w:rsidRPr="00261F25">
        <w:rPr>
          <w:rFonts w:ascii="Times New Roman" w:eastAsia="Times New Roman" w:hAnsi="Times New Roman"/>
          <w:sz w:val="28"/>
          <w:szCs w:val="28"/>
          <w:lang w:eastAsia="ru-RU"/>
        </w:rPr>
        <w:t>Огляду</w:t>
      </w:r>
      <w:proofErr w:type="spellEnd"/>
      <w:r w:rsidRPr="00261F25">
        <w:rPr>
          <w:rFonts w:ascii="Times New Roman" w:eastAsia="Times New Roman" w:hAnsi="Times New Roman"/>
          <w:sz w:val="28"/>
          <w:szCs w:val="28"/>
          <w:lang w:eastAsia="ru-RU"/>
        </w:rPr>
        <w:t xml:space="preserve"> </w:t>
      </w:r>
      <w:proofErr w:type="spellStart"/>
      <w:r w:rsidRPr="00261F25">
        <w:rPr>
          <w:rFonts w:ascii="Times New Roman" w:eastAsia="Times New Roman" w:hAnsi="Times New Roman"/>
          <w:sz w:val="28"/>
          <w:szCs w:val="28"/>
          <w:lang w:eastAsia="ru-RU"/>
        </w:rPr>
        <w:t>прогресу</w:t>
      </w:r>
      <w:proofErr w:type="spellEnd"/>
      <w:r w:rsidRPr="00261F25">
        <w:rPr>
          <w:rFonts w:ascii="Times New Roman" w:eastAsia="Times New Roman" w:hAnsi="Times New Roman"/>
          <w:sz w:val="28"/>
          <w:szCs w:val="28"/>
          <w:lang w:eastAsia="ru-RU"/>
        </w:rPr>
        <w:t xml:space="preserve"> за </w:t>
      </w:r>
      <w:proofErr w:type="spellStart"/>
      <w:r w:rsidRPr="00261F25">
        <w:rPr>
          <w:rFonts w:ascii="Times New Roman" w:eastAsia="Times New Roman" w:hAnsi="Times New Roman"/>
          <w:sz w:val="28"/>
          <w:szCs w:val="28"/>
          <w:lang w:eastAsia="ru-RU"/>
        </w:rPr>
        <w:t>п’ять</w:t>
      </w:r>
      <w:proofErr w:type="spellEnd"/>
      <w:r w:rsidRPr="00261F25">
        <w:rPr>
          <w:rFonts w:ascii="Times New Roman" w:eastAsia="Times New Roman" w:hAnsi="Times New Roman"/>
          <w:sz w:val="28"/>
          <w:szCs w:val="28"/>
          <w:lang w:eastAsia="ru-RU"/>
        </w:rPr>
        <w:t xml:space="preserve"> </w:t>
      </w:r>
      <w:proofErr w:type="spellStart"/>
      <w:r w:rsidRPr="00261F25">
        <w:rPr>
          <w:rFonts w:ascii="Times New Roman" w:eastAsia="Times New Roman" w:hAnsi="Times New Roman"/>
          <w:sz w:val="28"/>
          <w:szCs w:val="28"/>
          <w:lang w:eastAsia="ru-RU"/>
        </w:rPr>
        <w:t>років</w:t>
      </w:r>
      <w:proofErr w:type="spellEnd"/>
      <w:r>
        <w:rPr>
          <w:rFonts w:ascii="Times New Roman" w:eastAsia="Times New Roman" w:hAnsi="Times New Roman"/>
          <w:sz w:val="28"/>
          <w:szCs w:val="28"/>
          <w:lang w:val="uk-UA" w:eastAsia="ru-RU"/>
        </w:rPr>
        <w:t xml:space="preserve"> </w:t>
      </w:r>
      <w:r w:rsidRPr="00261F25">
        <w:rPr>
          <w:rFonts w:ascii="Times New Roman" w:eastAsia="Times New Roman" w:hAnsi="Times New Roman"/>
          <w:sz w:val="28"/>
          <w:szCs w:val="28"/>
          <w:lang w:eastAsia="ru-RU"/>
        </w:rPr>
        <w:t>у</w:t>
      </w:r>
      <w:r w:rsidR="00D85EB4">
        <w:rPr>
          <w:rFonts w:ascii="Times New Roman" w:eastAsia="Times New Roman" w:hAnsi="Times New Roman"/>
          <w:sz w:val="28"/>
          <w:szCs w:val="28"/>
          <w:lang w:eastAsia="ru-RU"/>
        </w:rPr>
        <w:t xml:space="preserve"> 2000</w:t>
      </w:r>
      <w:r w:rsidRPr="00261F25">
        <w:rPr>
          <w:rFonts w:ascii="Times New Roman" w:eastAsia="Times New Roman" w:hAnsi="Times New Roman"/>
          <w:sz w:val="28"/>
          <w:szCs w:val="28"/>
          <w:lang w:eastAsia="ru-RU"/>
        </w:rPr>
        <w:t xml:space="preserve"> </w:t>
      </w:r>
      <w:proofErr w:type="spellStart"/>
      <w:r w:rsidRPr="00261F25">
        <w:rPr>
          <w:rFonts w:ascii="Times New Roman" w:eastAsia="Times New Roman" w:hAnsi="Times New Roman"/>
          <w:sz w:val="28"/>
          <w:szCs w:val="28"/>
          <w:lang w:eastAsia="ru-RU"/>
        </w:rPr>
        <w:t>держави</w:t>
      </w:r>
      <w:proofErr w:type="spellEnd"/>
      <w:r w:rsidRPr="00261F25">
        <w:rPr>
          <w:rFonts w:ascii="Times New Roman" w:eastAsia="Times New Roman" w:hAnsi="Times New Roman"/>
          <w:sz w:val="28"/>
          <w:szCs w:val="28"/>
          <w:lang w:eastAsia="ru-RU"/>
        </w:rPr>
        <w:t xml:space="preserve">-члени </w:t>
      </w:r>
      <w:proofErr w:type="spellStart"/>
      <w:r w:rsidRPr="00261F25">
        <w:rPr>
          <w:rFonts w:ascii="Times New Roman" w:eastAsia="Times New Roman" w:hAnsi="Times New Roman"/>
          <w:sz w:val="28"/>
          <w:szCs w:val="28"/>
          <w:lang w:eastAsia="ru-RU"/>
        </w:rPr>
        <w:t>знову</w:t>
      </w:r>
      <w:proofErr w:type="spellEnd"/>
      <w:r w:rsidRPr="00261F25">
        <w:rPr>
          <w:rFonts w:ascii="Times New Roman" w:eastAsia="Times New Roman" w:hAnsi="Times New Roman"/>
          <w:sz w:val="28"/>
          <w:szCs w:val="28"/>
          <w:lang w:eastAsia="ru-RU"/>
        </w:rPr>
        <w:t xml:space="preserve"> затвердили та </w:t>
      </w:r>
      <w:proofErr w:type="spellStart"/>
      <w:r w:rsidRPr="00261F25">
        <w:rPr>
          <w:rFonts w:ascii="Times New Roman" w:eastAsia="Times New Roman" w:hAnsi="Times New Roman"/>
          <w:sz w:val="28"/>
          <w:szCs w:val="28"/>
          <w:lang w:eastAsia="ru-RU"/>
        </w:rPr>
        <w:t>посилили</w:t>
      </w:r>
      <w:proofErr w:type="spellEnd"/>
      <w:r w:rsidRPr="00261F25">
        <w:rPr>
          <w:rFonts w:ascii="Times New Roman" w:eastAsia="Times New Roman" w:hAnsi="Times New Roman"/>
          <w:sz w:val="28"/>
          <w:szCs w:val="28"/>
          <w:lang w:eastAsia="ru-RU"/>
        </w:rPr>
        <w:t xml:space="preserve"> </w:t>
      </w:r>
      <w:proofErr w:type="spellStart"/>
      <w:r w:rsidRPr="00261F25">
        <w:rPr>
          <w:rFonts w:ascii="Times New Roman" w:eastAsia="Times New Roman" w:hAnsi="Times New Roman"/>
          <w:sz w:val="28"/>
          <w:szCs w:val="28"/>
          <w:lang w:eastAsia="ru-RU"/>
        </w:rPr>
        <w:t>основні</w:t>
      </w:r>
      <w:proofErr w:type="spellEnd"/>
      <w:r w:rsidRPr="00261F25">
        <w:rPr>
          <w:rFonts w:ascii="Times New Roman" w:eastAsia="Times New Roman" w:hAnsi="Times New Roman"/>
          <w:sz w:val="28"/>
          <w:szCs w:val="28"/>
          <w:lang w:eastAsia="ru-RU"/>
        </w:rPr>
        <w:t xml:space="preserve"> </w:t>
      </w:r>
      <w:proofErr w:type="spellStart"/>
      <w:r w:rsidRPr="00261F25">
        <w:rPr>
          <w:rFonts w:ascii="Times New Roman" w:eastAsia="Times New Roman" w:hAnsi="Times New Roman"/>
          <w:sz w:val="28"/>
          <w:szCs w:val="28"/>
          <w:lang w:eastAsia="ru-RU"/>
        </w:rPr>
        <w:t>принципи</w:t>
      </w:r>
      <w:proofErr w:type="spellEnd"/>
      <w:r w:rsidRPr="00261F25">
        <w:rPr>
          <w:rFonts w:ascii="Times New Roman" w:eastAsia="Times New Roman" w:hAnsi="Times New Roman"/>
          <w:sz w:val="28"/>
          <w:szCs w:val="28"/>
          <w:lang w:eastAsia="ru-RU"/>
        </w:rPr>
        <w:t xml:space="preserve">, а </w:t>
      </w:r>
      <w:proofErr w:type="spellStart"/>
      <w:r w:rsidRPr="00261F25">
        <w:rPr>
          <w:rFonts w:ascii="Times New Roman" w:eastAsia="Times New Roman" w:hAnsi="Times New Roman"/>
          <w:sz w:val="28"/>
          <w:szCs w:val="28"/>
          <w:lang w:eastAsia="ru-RU"/>
        </w:rPr>
        <w:t>також</w:t>
      </w:r>
      <w:proofErr w:type="spellEnd"/>
      <w:r w:rsidRPr="00261F25">
        <w:rPr>
          <w:rFonts w:ascii="Times New Roman" w:eastAsia="Times New Roman" w:hAnsi="Times New Roman"/>
          <w:sz w:val="28"/>
          <w:szCs w:val="28"/>
          <w:lang w:eastAsia="ru-RU"/>
        </w:rPr>
        <w:t xml:space="preserve"> </w:t>
      </w:r>
      <w:proofErr w:type="spellStart"/>
      <w:r w:rsidRPr="00261F25">
        <w:rPr>
          <w:rFonts w:ascii="Times New Roman" w:eastAsia="Times New Roman" w:hAnsi="Times New Roman"/>
          <w:sz w:val="28"/>
          <w:szCs w:val="28"/>
          <w:lang w:eastAsia="ru-RU"/>
        </w:rPr>
        <w:t>зобов’язалися</w:t>
      </w:r>
      <w:proofErr w:type="spellEnd"/>
      <w:r w:rsidRPr="00261F25">
        <w:rPr>
          <w:rFonts w:ascii="Times New Roman" w:eastAsia="Times New Roman" w:hAnsi="Times New Roman"/>
          <w:sz w:val="28"/>
          <w:szCs w:val="28"/>
          <w:lang w:eastAsia="ru-RU"/>
        </w:rPr>
        <w:t xml:space="preserve"> </w:t>
      </w:r>
      <w:proofErr w:type="spellStart"/>
      <w:r w:rsidRPr="00261F25">
        <w:rPr>
          <w:rFonts w:ascii="Times New Roman" w:eastAsia="Times New Roman" w:hAnsi="Times New Roman"/>
          <w:sz w:val="28"/>
          <w:szCs w:val="28"/>
          <w:lang w:eastAsia="ru-RU"/>
        </w:rPr>
        <w:t>прискорити</w:t>
      </w:r>
      <w:proofErr w:type="spellEnd"/>
      <w:r w:rsidRPr="00261F25">
        <w:rPr>
          <w:rFonts w:ascii="Times New Roman" w:eastAsia="Times New Roman" w:hAnsi="Times New Roman"/>
          <w:sz w:val="28"/>
          <w:szCs w:val="28"/>
          <w:lang w:eastAsia="ru-RU"/>
        </w:rPr>
        <w:t xml:space="preserve"> </w:t>
      </w:r>
      <w:proofErr w:type="spellStart"/>
      <w:r w:rsidRPr="00261F25">
        <w:rPr>
          <w:rFonts w:ascii="Times New Roman" w:eastAsia="Times New Roman" w:hAnsi="Times New Roman"/>
          <w:sz w:val="28"/>
          <w:szCs w:val="28"/>
          <w:lang w:eastAsia="ru-RU"/>
        </w:rPr>
        <w:t>впровадження</w:t>
      </w:r>
      <w:proofErr w:type="spellEnd"/>
      <w:r w:rsidRPr="00261F25">
        <w:rPr>
          <w:rFonts w:ascii="Times New Roman" w:eastAsia="Times New Roman" w:hAnsi="Times New Roman"/>
          <w:sz w:val="28"/>
          <w:szCs w:val="28"/>
          <w:lang w:eastAsia="ru-RU"/>
        </w:rPr>
        <w:t xml:space="preserve"> плану у </w:t>
      </w:r>
      <w:proofErr w:type="spellStart"/>
      <w:r w:rsidRPr="00261F25">
        <w:rPr>
          <w:rFonts w:ascii="Times New Roman" w:eastAsia="Times New Roman" w:hAnsi="Times New Roman"/>
          <w:sz w:val="28"/>
          <w:szCs w:val="28"/>
          <w:lang w:eastAsia="ru-RU"/>
        </w:rPr>
        <w:t>період</w:t>
      </w:r>
      <w:proofErr w:type="spellEnd"/>
      <w:r w:rsidRPr="00261F25">
        <w:rPr>
          <w:rFonts w:ascii="Times New Roman" w:eastAsia="Times New Roman" w:hAnsi="Times New Roman"/>
          <w:sz w:val="28"/>
          <w:szCs w:val="28"/>
          <w:lang w:eastAsia="ru-RU"/>
        </w:rPr>
        <w:t> </w:t>
      </w:r>
      <w:proofErr w:type="spellStart"/>
      <w:r w:rsidRPr="00261F25">
        <w:rPr>
          <w:rFonts w:ascii="Times New Roman" w:eastAsia="Times New Roman" w:hAnsi="Times New Roman"/>
          <w:sz w:val="28"/>
          <w:szCs w:val="28"/>
          <w:lang w:eastAsia="ru-RU"/>
        </w:rPr>
        <w:t>Огляду</w:t>
      </w:r>
      <w:proofErr w:type="spellEnd"/>
      <w:r w:rsidRPr="00261F25">
        <w:rPr>
          <w:rFonts w:ascii="Times New Roman" w:eastAsia="Times New Roman" w:hAnsi="Times New Roman"/>
          <w:sz w:val="28"/>
          <w:szCs w:val="28"/>
          <w:lang w:eastAsia="ru-RU"/>
        </w:rPr>
        <w:t xml:space="preserve"> </w:t>
      </w:r>
      <w:proofErr w:type="spellStart"/>
      <w:r w:rsidRPr="00261F25">
        <w:rPr>
          <w:rFonts w:ascii="Times New Roman" w:eastAsia="Times New Roman" w:hAnsi="Times New Roman"/>
          <w:sz w:val="28"/>
          <w:szCs w:val="28"/>
          <w:lang w:eastAsia="ru-RU"/>
        </w:rPr>
        <w:t>Прогресу</w:t>
      </w:r>
      <w:proofErr w:type="spellEnd"/>
      <w:r w:rsidRPr="00261F25">
        <w:rPr>
          <w:rFonts w:ascii="Times New Roman" w:eastAsia="Times New Roman" w:hAnsi="Times New Roman"/>
          <w:sz w:val="28"/>
          <w:szCs w:val="28"/>
          <w:lang w:eastAsia="ru-RU"/>
        </w:rPr>
        <w:t xml:space="preserve"> за 10 </w:t>
      </w:r>
      <w:proofErr w:type="spellStart"/>
      <w:r w:rsidRPr="00261F25">
        <w:rPr>
          <w:rFonts w:ascii="Times New Roman" w:eastAsia="Times New Roman" w:hAnsi="Times New Roman"/>
          <w:sz w:val="28"/>
          <w:szCs w:val="28"/>
          <w:lang w:eastAsia="ru-RU"/>
        </w:rPr>
        <w:t>років</w:t>
      </w:r>
      <w:proofErr w:type="spellEnd"/>
      <w:r w:rsidRPr="00261F25">
        <w:rPr>
          <w:rFonts w:ascii="Times New Roman" w:eastAsia="Times New Roman" w:hAnsi="Times New Roman"/>
          <w:sz w:val="28"/>
          <w:szCs w:val="28"/>
          <w:lang w:eastAsia="ru-RU"/>
        </w:rPr>
        <w:t> </w:t>
      </w:r>
      <w:proofErr w:type="gramStart"/>
      <w:r w:rsidRPr="00261F25">
        <w:rPr>
          <w:rFonts w:ascii="Times New Roman" w:eastAsia="Times New Roman" w:hAnsi="Times New Roman"/>
          <w:sz w:val="28"/>
          <w:szCs w:val="28"/>
          <w:lang w:eastAsia="ru-RU"/>
        </w:rPr>
        <w:t>в</w:t>
      </w:r>
      <w:proofErr w:type="gramEnd"/>
      <w:r w:rsidRPr="00261F25">
        <w:rPr>
          <w:rFonts w:ascii="Times New Roman" w:eastAsia="Times New Roman" w:hAnsi="Times New Roman"/>
          <w:sz w:val="28"/>
          <w:szCs w:val="28"/>
          <w:lang w:eastAsia="ru-RU"/>
        </w:rPr>
        <w:t xml:space="preserve"> 2005-му, </w:t>
      </w:r>
      <w:proofErr w:type="spellStart"/>
      <w:r w:rsidRPr="00261F25">
        <w:rPr>
          <w:rFonts w:ascii="Times New Roman" w:eastAsia="Times New Roman" w:hAnsi="Times New Roman"/>
          <w:sz w:val="28"/>
          <w:szCs w:val="28"/>
          <w:lang w:eastAsia="ru-RU"/>
        </w:rPr>
        <w:t>Огляду</w:t>
      </w:r>
      <w:proofErr w:type="spellEnd"/>
      <w:r w:rsidRPr="00261F25">
        <w:rPr>
          <w:rFonts w:ascii="Times New Roman" w:eastAsia="Times New Roman" w:hAnsi="Times New Roman"/>
          <w:sz w:val="28"/>
          <w:szCs w:val="28"/>
          <w:lang w:eastAsia="ru-RU"/>
        </w:rPr>
        <w:t xml:space="preserve"> </w:t>
      </w:r>
      <w:proofErr w:type="spellStart"/>
      <w:r w:rsidRPr="00261F25">
        <w:rPr>
          <w:rFonts w:ascii="Times New Roman" w:eastAsia="Times New Roman" w:hAnsi="Times New Roman"/>
          <w:sz w:val="28"/>
          <w:szCs w:val="28"/>
          <w:lang w:eastAsia="ru-RU"/>
        </w:rPr>
        <w:t>Прогресу</w:t>
      </w:r>
      <w:proofErr w:type="spellEnd"/>
      <w:r w:rsidRPr="00261F25">
        <w:rPr>
          <w:rFonts w:ascii="Times New Roman" w:eastAsia="Times New Roman" w:hAnsi="Times New Roman"/>
          <w:sz w:val="28"/>
          <w:szCs w:val="28"/>
          <w:lang w:eastAsia="ru-RU"/>
        </w:rPr>
        <w:t xml:space="preserve"> за 15 </w:t>
      </w:r>
      <w:proofErr w:type="spellStart"/>
      <w:r w:rsidRPr="00261F25">
        <w:rPr>
          <w:rFonts w:ascii="Times New Roman" w:eastAsia="Times New Roman" w:hAnsi="Times New Roman"/>
          <w:sz w:val="28"/>
          <w:szCs w:val="28"/>
          <w:lang w:eastAsia="ru-RU"/>
        </w:rPr>
        <w:t>років</w:t>
      </w:r>
      <w:proofErr w:type="spellEnd"/>
      <w:r w:rsidRPr="00261F25">
        <w:rPr>
          <w:rFonts w:ascii="Times New Roman" w:eastAsia="Times New Roman" w:hAnsi="Times New Roman"/>
          <w:sz w:val="28"/>
          <w:szCs w:val="28"/>
          <w:lang w:eastAsia="ru-RU"/>
        </w:rPr>
        <w:t xml:space="preserve"> в 2010-му</w:t>
      </w:r>
      <w:r>
        <w:rPr>
          <w:rFonts w:ascii="Times New Roman" w:eastAsia="Times New Roman" w:hAnsi="Times New Roman"/>
          <w:sz w:val="28"/>
          <w:szCs w:val="28"/>
          <w:lang w:val="uk-UA" w:eastAsia="ru-RU"/>
        </w:rPr>
        <w:t xml:space="preserve"> </w:t>
      </w:r>
      <w:r w:rsidRPr="00261F25">
        <w:rPr>
          <w:rFonts w:ascii="Times New Roman" w:eastAsia="Times New Roman" w:hAnsi="Times New Roman"/>
          <w:sz w:val="28"/>
          <w:szCs w:val="28"/>
          <w:lang w:eastAsia="ru-RU"/>
        </w:rPr>
        <w:t>та </w:t>
      </w:r>
      <w:proofErr w:type="spellStart"/>
      <w:r w:rsidRPr="00261F25">
        <w:rPr>
          <w:rFonts w:ascii="Times New Roman" w:eastAsia="Times New Roman" w:hAnsi="Times New Roman"/>
          <w:sz w:val="28"/>
          <w:szCs w:val="28"/>
          <w:lang w:eastAsia="ru-RU"/>
        </w:rPr>
        <w:t>Огляду</w:t>
      </w:r>
      <w:proofErr w:type="spellEnd"/>
      <w:r w:rsidRPr="00261F25">
        <w:rPr>
          <w:rFonts w:ascii="Times New Roman" w:eastAsia="Times New Roman" w:hAnsi="Times New Roman"/>
          <w:sz w:val="28"/>
          <w:szCs w:val="28"/>
          <w:lang w:eastAsia="ru-RU"/>
        </w:rPr>
        <w:t xml:space="preserve"> </w:t>
      </w:r>
      <w:proofErr w:type="spellStart"/>
      <w:r w:rsidRPr="00261F25">
        <w:rPr>
          <w:rFonts w:ascii="Times New Roman" w:eastAsia="Times New Roman" w:hAnsi="Times New Roman"/>
          <w:sz w:val="28"/>
          <w:szCs w:val="28"/>
          <w:lang w:eastAsia="ru-RU"/>
        </w:rPr>
        <w:t>Прогресу</w:t>
      </w:r>
      <w:proofErr w:type="spellEnd"/>
      <w:r w:rsidRPr="00261F25">
        <w:rPr>
          <w:rFonts w:ascii="Times New Roman" w:eastAsia="Times New Roman" w:hAnsi="Times New Roman"/>
          <w:sz w:val="28"/>
          <w:szCs w:val="28"/>
          <w:lang w:eastAsia="ru-RU"/>
        </w:rPr>
        <w:t xml:space="preserve"> за 20 </w:t>
      </w:r>
      <w:proofErr w:type="spellStart"/>
      <w:r w:rsidRPr="00261F25">
        <w:rPr>
          <w:rFonts w:ascii="Times New Roman" w:eastAsia="Times New Roman" w:hAnsi="Times New Roman"/>
          <w:sz w:val="28"/>
          <w:szCs w:val="28"/>
          <w:lang w:eastAsia="ru-RU"/>
        </w:rPr>
        <w:t>років</w:t>
      </w:r>
      <w:proofErr w:type="spellEnd"/>
      <w:r w:rsidRPr="00261F25">
        <w:rPr>
          <w:rFonts w:ascii="Times New Roman" w:eastAsia="Times New Roman" w:hAnsi="Times New Roman"/>
          <w:sz w:val="28"/>
          <w:szCs w:val="28"/>
          <w:lang w:eastAsia="ru-RU"/>
        </w:rPr>
        <w:t> в 2015-му.</w:t>
      </w:r>
    </w:p>
    <w:p w:rsidR="007B3484" w:rsidRPr="00171B45" w:rsidRDefault="00261F25" w:rsidP="00261F25">
      <w:pPr>
        <w:spacing w:after="0" w:line="360" w:lineRule="auto"/>
        <w:ind w:firstLine="567"/>
        <w:jc w:val="both"/>
        <w:rPr>
          <w:rFonts w:ascii="Times New Roman" w:eastAsia="Times New Roman" w:hAnsi="Times New Roman"/>
          <w:sz w:val="28"/>
          <w:szCs w:val="28"/>
          <w:lang w:val="uk-UA" w:eastAsia="ru-RU"/>
        </w:rPr>
      </w:pPr>
      <w:proofErr w:type="spellStart"/>
      <w:r w:rsidRPr="00261F25">
        <w:rPr>
          <w:rFonts w:ascii="Times New Roman" w:eastAsia="Times New Roman" w:hAnsi="Times New Roman"/>
          <w:bCs/>
          <w:sz w:val="28"/>
          <w:szCs w:val="28"/>
          <w:lang w:eastAsia="ru-RU"/>
        </w:rPr>
        <w:t>Конвенція</w:t>
      </w:r>
      <w:proofErr w:type="spellEnd"/>
      <w:r w:rsidRPr="00261F25">
        <w:rPr>
          <w:rFonts w:ascii="Times New Roman" w:eastAsia="Times New Roman" w:hAnsi="Times New Roman"/>
          <w:bCs/>
          <w:sz w:val="28"/>
          <w:szCs w:val="28"/>
          <w:lang w:eastAsia="ru-RU"/>
        </w:rPr>
        <w:t xml:space="preserve"> про </w:t>
      </w:r>
      <w:proofErr w:type="spellStart"/>
      <w:proofErr w:type="gramStart"/>
      <w:r w:rsidRPr="00261F25">
        <w:rPr>
          <w:rFonts w:ascii="Times New Roman" w:eastAsia="Times New Roman" w:hAnsi="Times New Roman"/>
          <w:bCs/>
          <w:sz w:val="28"/>
          <w:szCs w:val="28"/>
          <w:lang w:eastAsia="ru-RU"/>
        </w:rPr>
        <w:t>л</w:t>
      </w:r>
      <w:proofErr w:type="gramEnd"/>
      <w:r w:rsidRPr="00261F25">
        <w:rPr>
          <w:rFonts w:ascii="Times New Roman" w:eastAsia="Times New Roman" w:hAnsi="Times New Roman"/>
          <w:bCs/>
          <w:sz w:val="28"/>
          <w:szCs w:val="28"/>
          <w:lang w:eastAsia="ru-RU"/>
        </w:rPr>
        <w:t>іквідацію</w:t>
      </w:r>
      <w:proofErr w:type="spellEnd"/>
      <w:r w:rsidRPr="00261F25">
        <w:rPr>
          <w:rFonts w:ascii="Times New Roman" w:eastAsia="Times New Roman" w:hAnsi="Times New Roman"/>
          <w:bCs/>
          <w:sz w:val="28"/>
          <w:szCs w:val="28"/>
          <w:lang w:eastAsia="ru-RU"/>
        </w:rPr>
        <w:t xml:space="preserve"> </w:t>
      </w:r>
      <w:proofErr w:type="spellStart"/>
      <w:r w:rsidRPr="00261F25">
        <w:rPr>
          <w:rFonts w:ascii="Times New Roman" w:eastAsia="Times New Roman" w:hAnsi="Times New Roman"/>
          <w:bCs/>
          <w:sz w:val="28"/>
          <w:szCs w:val="28"/>
          <w:lang w:eastAsia="ru-RU"/>
        </w:rPr>
        <w:t>всіх</w:t>
      </w:r>
      <w:proofErr w:type="spellEnd"/>
      <w:r w:rsidRPr="00261F25">
        <w:rPr>
          <w:rFonts w:ascii="Times New Roman" w:eastAsia="Times New Roman" w:hAnsi="Times New Roman"/>
          <w:bCs/>
          <w:sz w:val="28"/>
          <w:szCs w:val="28"/>
          <w:lang w:eastAsia="ru-RU"/>
        </w:rPr>
        <w:t xml:space="preserve"> форм </w:t>
      </w:r>
      <w:proofErr w:type="spellStart"/>
      <w:r w:rsidRPr="00261F25">
        <w:rPr>
          <w:rFonts w:ascii="Times New Roman" w:eastAsia="Times New Roman" w:hAnsi="Times New Roman"/>
          <w:bCs/>
          <w:sz w:val="28"/>
          <w:szCs w:val="28"/>
          <w:lang w:eastAsia="ru-RU"/>
        </w:rPr>
        <w:t>дискримінації</w:t>
      </w:r>
      <w:proofErr w:type="spellEnd"/>
      <w:r w:rsidRPr="00261F25">
        <w:rPr>
          <w:rFonts w:ascii="Times New Roman" w:eastAsia="Times New Roman" w:hAnsi="Times New Roman"/>
          <w:bCs/>
          <w:sz w:val="28"/>
          <w:szCs w:val="28"/>
          <w:lang w:eastAsia="ru-RU"/>
        </w:rPr>
        <w:t xml:space="preserve"> </w:t>
      </w:r>
      <w:proofErr w:type="spellStart"/>
      <w:r w:rsidRPr="00261F25">
        <w:rPr>
          <w:rFonts w:ascii="Times New Roman" w:eastAsia="Times New Roman" w:hAnsi="Times New Roman"/>
          <w:bCs/>
          <w:sz w:val="28"/>
          <w:szCs w:val="28"/>
          <w:lang w:eastAsia="ru-RU"/>
        </w:rPr>
        <w:t>щодо</w:t>
      </w:r>
      <w:proofErr w:type="spellEnd"/>
      <w:r w:rsidRPr="00261F25">
        <w:rPr>
          <w:rFonts w:ascii="Times New Roman" w:eastAsia="Times New Roman" w:hAnsi="Times New Roman"/>
          <w:bCs/>
          <w:sz w:val="28"/>
          <w:szCs w:val="28"/>
          <w:lang w:eastAsia="ru-RU"/>
        </w:rPr>
        <w:t xml:space="preserve"> </w:t>
      </w:r>
      <w:proofErr w:type="spellStart"/>
      <w:r w:rsidRPr="00261F25">
        <w:rPr>
          <w:rFonts w:ascii="Times New Roman" w:eastAsia="Times New Roman" w:hAnsi="Times New Roman"/>
          <w:bCs/>
          <w:sz w:val="28"/>
          <w:szCs w:val="28"/>
          <w:lang w:eastAsia="ru-RU"/>
        </w:rPr>
        <w:t>жінок</w:t>
      </w:r>
      <w:proofErr w:type="spellEnd"/>
      <w:r w:rsidRPr="00261F25">
        <w:rPr>
          <w:rFonts w:ascii="Times New Roman" w:eastAsia="Times New Roman" w:hAnsi="Times New Roman"/>
          <w:bCs/>
          <w:sz w:val="28"/>
          <w:szCs w:val="28"/>
          <w:lang w:val="uk-UA" w:eastAsia="ru-RU"/>
        </w:rPr>
        <w:t>.</w:t>
      </w:r>
      <w:r>
        <w:rPr>
          <w:rFonts w:ascii="Times New Roman" w:eastAsia="Times New Roman" w:hAnsi="Times New Roman"/>
          <w:sz w:val="28"/>
          <w:szCs w:val="28"/>
          <w:lang w:val="uk-UA" w:eastAsia="ru-RU"/>
        </w:rPr>
        <w:t xml:space="preserve"> </w:t>
      </w:r>
      <w:r w:rsidR="00D85EB4">
        <w:rPr>
          <w:rFonts w:ascii="Times New Roman" w:eastAsia="Times New Roman" w:hAnsi="Times New Roman"/>
          <w:sz w:val="28"/>
          <w:szCs w:val="28"/>
          <w:lang w:val="uk-UA" w:eastAsia="ru-RU"/>
        </w:rPr>
        <w:t>У</w:t>
      </w:r>
      <w:r>
        <w:rPr>
          <w:rFonts w:ascii="Times New Roman" w:eastAsia="Times New Roman" w:hAnsi="Times New Roman"/>
          <w:sz w:val="28"/>
          <w:szCs w:val="28"/>
          <w:lang w:val="uk-UA" w:eastAsia="ru-RU"/>
        </w:rPr>
        <w:t xml:space="preserve"> ст. </w:t>
      </w:r>
      <w:r w:rsidR="007B3484" w:rsidRPr="00F97C70">
        <w:rPr>
          <w:rFonts w:ascii="Times New Roman" w:eastAsia="Times New Roman" w:hAnsi="Times New Roman"/>
          <w:sz w:val="28"/>
          <w:szCs w:val="28"/>
          <w:lang w:val="uk-UA" w:eastAsia="ru-RU"/>
        </w:rPr>
        <w:t>5 Конвенції визначено, що держави-сторони мають вжити усіх заходів з метою зміни соціальних та культурних моделей поведінки чоловіків і жінок для всіх проявів, що ґрунтуються на ідеї неповноцінності чи зверхності однієї із статей; забезпечити, щоб сімейне виховання включало правильне розуміння материнства як соціальної функції і визначення загальної відповідальності чоловіків і жінок за виховання та розвиток своїх дітей</w:t>
      </w:r>
      <w:r w:rsidR="007B3484" w:rsidRPr="00F97C70">
        <w:rPr>
          <w:rFonts w:ascii="Times New Roman" w:eastAsia="Times New Roman" w:hAnsi="Times New Roman"/>
          <w:b/>
          <w:i/>
          <w:sz w:val="28"/>
          <w:szCs w:val="28"/>
          <w:lang w:val="uk-UA" w:eastAsia="ru-RU"/>
        </w:rPr>
        <w:t>.</w:t>
      </w:r>
      <w:r w:rsidR="007B3484" w:rsidRPr="00F97C70">
        <w:rPr>
          <w:rFonts w:ascii="Times New Roman" w:eastAsia="Times New Roman" w:hAnsi="Times New Roman"/>
          <w:sz w:val="28"/>
          <w:szCs w:val="28"/>
          <w:lang w:val="uk-UA" w:eastAsia="ru-RU"/>
        </w:rPr>
        <w:t xml:space="preserve"> Спеціально створений Комітет ООН з ліквідації дискримінації щодо жінок здійснює роботу щодо деталізації та посилення Конвенції через надання рекомендацій державам-членам.</w:t>
      </w:r>
    </w:p>
    <w:p w:rsidR="007B3484" w:rsidRPr="00F97C70" w:rsidRDefault="007B3484" w:rsidP="009B1EBB">
      <w:pPr>
        <w:spacing w:after="0" w:line="360" w:lineRule="auto"/>
        <w:ind w:firstLine="567"/>
        <w:jc w:val="both"/>
        <w:rPr>
          <w:rFonts w:ascii="Times New Roman" w:eastAsia="Times New Roman" w:hAnsi="Times New Roman"/>
          <w:sz w:val="28"/>
          <w:szCs w:val="28"/>
          <w:lang w:val="uk-UA" w:eastAsia="ru-RU"/>
        </w:rPr>
      </w:pPr>
      <w:r w:rsidRPr="00F97C70">
        <w:rPr>
          <w:rFonts w:ascii="Times New Roman" w:eastAsia="Times New Roman" w:hAnsi="Times New Roman"/>
          <w:sz w:val="28"/>
          <w:szCs w:val="28"/>
          <w:lang w:val="uk-UA" w:eastAsia="ru-RU"/>
        </w:rPr>
        <w:t xml:space="preserve">Проблема забезпечення принципу гендерної рівності в Україні ускладнена через неналежне виконання та, іноді, ігнорування рекомендацій міжнародних організацій. Формалізм у виконанні зауважень Комітету ООН з ліквідації всіх форм дискримінації щодо жінок ставить під сумнів міжнародного співтовариства прагнення України до встановлення гендерного паритету. </w:t>
      </w:r>
    </w:p>
    <w:p w:rsidR="007B3484" w:rsidRPr="00F97C70" w:rsidRDefault="007B3484" w:rsidP="009B1EBB">
      <w:pPr>
        <w:spacing w:after="0" w:line="360" w:lineRule="auto"/>
        <w:ind w:firstLine="567"/>
        <w:jc w:val="both"/>
        <w:rPr>
          <w:rFonts w:ascii="Times New Roman" w:eastAsia="Times New Roman" w:hAnsi="Times New Roman"/>
          <w:sz w:val="28"/>
          <w:szCs w:val="28"/>
          <w:lang w:val="uk-UA" w:eastAsia="ru-RU"/>
        </w:rPr>
      </w:pPr>
      <w:r w:rsidRPr="00F97C70">
        <w:rPr>
          <w:rFonts w:ascii="Times New Roman" w:eastAsia="Times New Roman" w:hAnsi="Times New Roman"/>
          <w:sz w:val="28"/>
          <w:szCs w:val="28"/>
          <w:lang w:val="uk-UA" w:eastAsia="ru-RU"/>
        </w:rPr>
        <w:lastRenderedPageBreak/>
        <w:t>Досягнення гендерної рівності є ключовим елементом у реалізації місії Ради Європи. Комітет Міністрів і Парламентська Асамблея Ради Європи прийняли велику кількість конвенцій та рекомендацій, які скеровують процеси розвитку гендерної рівності в Європі та у світі і впливають на них</w:t>
      </w:r>
      <w:r w:rsidRPr="00F97C70">
        <w:rPr>
          <w:b/>
          <w:i/>
          <w:sz w:val="28"/>
          <w:szCs w:val="28"/>
          <w:lang w:val="uk-UA"/>
        </w:rPr>
        <w:t>.</w:t>
      </w:r>
      <w:r w:rsidRPr="00F97C70">
        <w:rPr>
          <w:lang w:val="uk-UA"/>
        </w:rPr>
        <w:t xml:space="preserve"> </w:t>
      </w:r>
      <w:r w:rsidRPr="00F97C70">
        <w:rPr>
          <w:rFonts w:ascii="Times New Roman" w:eastAsia="Times New Roman" w:hAnsi="Times New Roman"/>
          <w:sz w:val="28"/>
          <w:szCs w:val="28"/>
          <w:lang w:val="uk-UA" w:eastAsia="ru-RU"/>
        </w:rPr>
        <w:t xml:space="preserve">Ключовим європейським документом на сучасному етапі є Стратегія гендерної рівності Ради Європи на 2018-2023 рр. </w:t>
      </w:r>
    </w:p>
    <w:p w:rsidR="007B3484" w:rsidRPr="00F97C70" w:rsidRDefault="007B3484" w:rsidP="009B1EBB">
      <w:pPr>
        <w:spacing w:after="0" w:line="360" w:lineRule="auto"/>
        <w:ind w:firstLine="567"/>
        <w:jc w:val="both"/>
        <w:rPr>
          <w:rFonts w:ascii="Times New Roman" w:eastAsia="Times New Roman" w:hAnsi="Times New Roman"/>
          <w:b/>
          <w:i/>
          <w:sz w:val="28"/>
          <w:szCs w:val="28"/>
          <w:lang w:val="uk-UA" w:eastAsia="ru-RU"/>
        </w:rPr>
      </w:pPr>
      <w:r w:rsidRPr="00F97C70">
        <w:rPr>
          <w:rFonts w:ascii="Times New Roman" w:eastAsia="Times New Roman" w:hAnsi="Times New Roman"/>
          <w:sz w:val="28"/>
          <w:szCs w:val="28"/>
          <w:lang w:val="uk-UA" w:eastAsia="ru-RU"/>
        </w:rPr>
        <w:t>Загальною метою Стратегії є досягнення ефективної реалізації політики гендерної рівності та розширення можливостей для жінок і чоловіків у державах-членах Ради Європи шляхом підтримки імплементації наявних документів та зміцнення нормативно-правового доробку Ради Європи в галузі гендерної рівності під керівництвом Комісії з гендерної рівності (GEC)</w:t>
      </w:r>
      <w:r w:rsidRPr="00F97C70">
        <w:rPr>
          <w:b/>
          <w:i/>
          <w:sz w:val="28"/>
          <w:szCs w:val="28"/>
          <w:lang w:val="uk-UA"/>
        </w:rPr>
        <w:t>.</w:t>
      </w:r>
      <w:r w:rsidRPr="00F97C70">
        <w:rPr>
          <w:rFonts w:ascii="Times New Roman" w:eastAsia="Times New Roman" w:hAnsi="Times New Roman"/>
          <w:b/>
          <w:i/>
          <w:sz w:val="28"/>
          <w:szCs w:val="28"/>
          <w:lang w:val="uk-UA" w:eastAsia="ru-RU"/>
        </w:rPr>
        <w:t xml:space="preserve"> </w:t>
      </w:r>
      <w:r w:rsidRPr="00F97C70">
        <w:rPr>
          <w:rFonts w:ascii="Times New Roman" w:eastAsia="Times New Roman" w:hAnsi="Times New Roman"/>
          <w:sz w:val="28"/>
          <w:szCs w:val="28"/>
          <w:lang w:val="uk-UA" w:eastAsia="ru-RU"/>
        </w:rPr>
        <w:t>В її основу покладені попередньо розроблені Радою Європи та апробовані державами-членами стандарти гендерної рівності.</w:t>
      </w:r>
    </w:p>
    <w:p w:rsidR="007B3484" w:rsidRPr="009B1EBB" w:rsidRDefault="007B3484" w:rsidP="009B1EBB">
      <w:pPr>
        <w:spacing w:after="0" w:line="360" w:lineRule="auto"/>
        <w:ind w:firstLine="567"/>
        <w:jc w:val="both"/>
        <w:rPr>
          <w:rFonts w:ascii="Times New Roman" w:eastAsia="Times New Roman" w:hAnsi="Times New Roman"/>
          <w:color w:val="000000"/>
          <w:sz w:val="28"/>
          <w:szCs w:val="28"/>
          <w:lang w:val="uk-UA" w:eastAsia="ru-RU"/>
        </w:rPr>
      </w:pPr>
      <w:r w:rsidRPr="00F97C70">
        <w:rPr>
          <w:rFonts w:ascii="Times New Roman" w:eastAsia="Times New Roman" w:hAnsi="Times New Roman"/>
          <w:color w:val="000000"/>
          <w:sz w:val="28"/>
          <w:szCs w:val="28"/>
          <w:lang w:val="uk-UA" w:eastAsia="ru-RU"/>
        </w:rPr>
        <w:t xml:space="preserve">На сьогодні проблема забезпечення гендерної рівності є глобальною. Найбільшого прогресу у її розв’язанні досягли країни Європейського Союзу, зокрема, Скандинавські. Вони характеризуються високорозвиненою правовою системою та демократичними інститутами, а також нижчим, порівняно з Україною, рівнем правового нігілізму. У країнах ЄС велике значення відводиться саме практиці правозастосування та </w:t>
      </w:r>
      <w:proofErr w:type="spellStart"/>
      <w:r w:rsidRPr="00F97C70">
        <w:rPr>
          <w:rFonts w:ascii="Times New Roman" w:eastAsia="Times New Roman" w:hAnsi="Times New Roman"/>
          <w:color w:val="000000"/>
          <w:sz w:val="28"/>
          <w:szCs w:val="28"/>
          <w:lang w:val="uk-UA" w:eastAsia="ru-RU"/>
        </w:rPr>
        <w:t>правореалізації</w:t>
      </w:r>
      <w:proofErr w:type="spellEnd"/>
      <w:r w:rsidRPr="00F97C70">
        <w:rPr>
          <w:rFonts w:ascii="Times New Roman" w:eastAsia="Times New Roman" w:hAnsi="Times New Roman"/>
          <w:color w:val="000000"/>
          <w:sz w:val="28"/>
          <w:szCs w:val="28"/>
          <w:lang w:val="uk-UA" w:eastAsia="ru-RU"/>
        </w:rPr>
        <w:t xml:space="preserve"> у сфері </w:t>
      </w:r>
      <w:proofErr w:type="spellStart"/>
      <w:r w:rsidRPr="00F97C70">
        <w:rPr>
          <w:rFonts w:ascii="Times New Roman" w:eastAsia="Times New Roman" w:hAnsi="Times New Roman"/>
          <w:color w:val="000000"/>
          <w:sz w:val="28"/>
          <w:szCs w:val="28"/>
          <w:lang w:val="uk-UA" w:eastAsia="ru-RU"/>
        </w:rPr>
        <w:t>гендеру</w:t>
      </w:r>
      <w:proofErr w:type="spellEnd"/>
      <w:r w:rsidRPr="00F97C70">
        <w:rPr>
          <w:rFonts w:ascii="Times New Roman" w:eastAsia="Times New Roman" w:hAnsi="Times New Roman"/>
          <w:color w:val="000000"/>
          <w:sz w:val="28"/>
          <w:szCs w:val="28"/>
          <w:lang w:val="uk-UA" w:eastAsia="ru-RU"/>
        </w:rPr>
        <w:t>. Відповідній діяльності обов’язково передує</w:t>
      </w:r>
      <w:r w:rsidR="00C307D2">
        <w:rPr>
          <w:rFonts w:ascii="Times New Roman" w:eastAsia="Times New Roman" w:hAnsi="Times New Roman"/>
          <w:color w:val="000000"/>
          <w:sz w:val="28"/>
          <w:szCs w:val="28"/>
          <w:lang w:val="uk-UA" w:eastAsia="ru-RU"/>
        </w:rPr>
        <w:t xml:space="preserve"> розробка та прийняття </w:t>
      </w:r>
      <w:proofErr w:type="spellStart"/>
      <w:r w:rsidR="00C307D2">
        <w:rPr>
          <w:rFonts w:ascii="Times New Roman" w:eastAsia="Times New Roman" w:hAnsi="Times New Roman"/>
          <w:color w:val="000000"/>
          <w:sz w:val="28"/>
          <w:szCs w:val="28"/>
          <w:lang w:val="uk-UA" w:eastAsia="ru-RU"/>
        </w:rPr>
        <w:t>гендерно</w:t>
      </w:r>
      <w:proofErr w:type="spellEnd"/>
      <w:r w:rsidR="00C307D2">
        <w:rPr>
          <w:rFonts w:ascii="Times New Roman" w:eastAsia="Times New Roman" w:hAnsi="Times New Roman"/>
          <w:color w:val="000000"/>
          <w:sz w:val="28"/>
          <w:szCs w:val="28"/>
          <w:lang w:val="uk-UA" w:eastAsia="ru-RU"/>
        </w:rPr>
        <w:t xml:space="preserve"> </w:t>
      </w:r>
      <w:bookmarkStart w:id="0" w:name="_GoBack"/>
      <w:bookmarkEnd w:id="0"/>
      <w:r w:rsidRPr="00F97C70">
        <w:rPr>
          <w:rFonts w:ascii="Times New Roman" w:eastAsia="Times New Roman" w:hAnsi="Times New Roman"/>
          <w:color w:val="000000"/>
          <w:sz w:val="28"/>
          <w:szCs w:val="28"/>
          <w:lang w:val="uk-UA" w:eastAsia="ru-RU"/>
        </w:rPr>
        <w:t>розвиненого законодавства, запровадження якого забезпечує досягнення принципу гендерної рівності та паритету</w:t>
      </w:r>
      <w:r w:rsidRPr="00F97C70">
        <w:rPr>
          <w:rFonts w:ascii="Times New Roman" w:eastAsia="Times New Roman" w:hAnsi="Times New Roman"/>
          <w:b/>
          <w:i/>
          <w:color w:val="000000"/>
          <w:sz w:val="28"/>
          <w:szCs w:val="28"/>
          <w:lang w:val="uk-UA" w:eastAsia="ru-RU"/>
        </w:rPr>
        <w:t xml:space="preserve">. </w:t>
      </w:r>
      <w:r w:rsidRPr="00F97C70">
        <w:rPr>
          <w:rFonts w:ascii="Times New Roman" w:eastAsia="Times New Roman" w:hAnsi="Times New Roman"/>
          <w:color w:val="000000"/>
          <w:sz w:val="28"/>
          <w:szCs w:val="28"/>
          <w:lang w:val="uk-UA" w:eastAsia="ru-RU"/>
        </w:rPr>
        <w:t xml:space="preserve">Розроблена </w:t>
      </w:r>
      <w:r w:rsidRPr="009B1EBB">
        <w:rPr>
          <w:rFonts w:ascii="Times New Roman" w:eastAsia="Times New Roman" w:hAnsi="Times New Roman"/>
          <w:color w:val="000000"/>
          <w:sz w:val="28"/>
          <w:szCs w:val="28"/>
          <w:lang w:val="uk-UA" w:eastAsia="ru-RU"/>
        </w:rPr>
        <w:t xml:space="preserve">міжнародними організаціями система правових актів і рекомендацій щодо утвердження гендерної рівності має неухильно враховуватись Україною. </w:t>
      </w:r>
    </w:p>
    <w:p w:rsidR="007B3484" w:rsidRPr="009B1EBB" w:rsidRDefault="00624DF4" w:rsidP="009B1EBB">
      <w:pPr>
        <w:spacing w:after="0"/>
        <w:ind w:firstLine="567"/>
        <w:rPr>
          <w:rFonts w:ascii="Times New Roman" w:eastAsia="Times New Roman" w:hAnsi="Times New Roman"/>
          <w:b/>
          <w:sz w:val="28"/>
          <w:szCs w:val="28"/>
          <w:lang w:val="uk-UA" w:eastAsia="ru-RU"/>
        </w:rPr>
      </w:pPr>
      <w:r w:rsidRPr="009B1EBB">
        <w:rPr>
          <w:rFonts w:ascii="Times New Roman" w:eastAsia="Times New Roman" w:hAnsi="Times New Roman"/>
          <w:b/>
          <w:sz w:val="28"/>
          <w:szCs w:val="28"/>
          <w:lang w:val="uk-UA" w:eastAsia="ru-RU"/>
        </w:rPr>
        <w:t>ВИСНОВКИ ДО ПЕРШОГО ПИТАННЯ:</w:t>
      </w:r>
    </w:p>
    <w:p w:rsidR="009B1EBB" w:rsidRDefault="009B1EBB" w:rsidP="009B1EBB">
      <w:pPr>
        <w:spacing w:after="0" w:line="360" w:lineRule="auto"/>
        <w:ind w:firstLine="567"/>
        <w:jc w:val="both"/>
        <w:rPr>
          <w:rFonts w:ascii="Times New Roman" w:eastAsia="Times New Roman" w:hAnsi="Times New Roman"/>
          <w:sz w:val="28"/>
          <w:szCs w:val="28"/>
          <w:lang w:val="uk-UA" w:eastAsia="ru-RU"/>
        </w:rPr>
      </w:pPr>
      <w:r w:rsidRPr="009B1EBB">
        <w:rPr>
          <w:rFonts w:ascii="Times New Roman" w:eastAsia="Times New Roman" w:hAnsi="Times New Roman"/>
          <w:sz w:val="28"/>
          <w:szCs w:val="28"/>
          <w:lang w:val="uk-UA" w:eastAsia="ru-RU"/>
        </w:rPr>
        <w:t>Основні міжнародні акти, що визначають стандарти</w:t>
      </w:r>
      <w:r>
        <w:rPr>
          <w:rFonts w:ascii="Times New Roman" w:eastAsia="Times New Roman" w:hAnsi="Times New Roman"/>
          <w:sz w:val="28"/>
          <w:szCs w:val="28"/>
          <w:lang w:val="uk-UA" w:eastAsia="ru-RU"/>
        </w:rPr>
        <w:t xml:space="preserve"> рівності людей, їх соціальну цінність незалежно від статі можна поділити на загальні та спеціальні. Так, до загальних відносяться: Загальна декларація прав людини від 1948 р., Конвенція про захист прав людини і основоположних свобод від </w:t>
      </w:r>
      <w:r>
        <w:rPr>
          <w:rFonts w:ascii="Times New Roman" w:eastAsia="Times New Roman" w:hAnsi="Times New Roman"/>
          <w:sz w:val="28"/>
          <w:szCs w:val="28"/>
          <w:lang w:val="uk-UA" w:eastAsia="ru-RU"/>
        </w:rPr>
        <w:lastRenderedPageBreak/>
        <w:t xml:space="preserve">1950 р., Міжнародний пакт про громадські та політичні права від 1966 р., Пакт про соціально-економічні та культурні права від 1966 р. та інші. </w:t>
      </w:r>
    </w:p>
    <w:p w:rsidR="009B1EBB" w:rsidRDefault="009B1EBB" w:rsidP="009B1EBB">
      <w:pPr>
        <w:spacing w:after="0" w:line="36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Міжнародні стандарти гарантування гендерної рівності, недискримінації та захисту від </w:t>
      </w:r>
      <w:proofErr w:type="spellStart"/>
      <w:r>
        <w:rPr>
          <w:rFonts w:ascii="Times New Roman" w:eastAsia="Times New Roman" w:hAnsi="Times New Roman"/>
          <w:sz w:val="28"/>
          <w:szCs w:val="28"/>
          <w:lang w:val="uk-UA" w:eastAsia="ru-RU"/>
        </w:rPr>
        <w:t>гендерно</w:t>
      </w:r>
      <w:proofErr w:type="spellEnd"/>
      <w:r>
        <w:rPr>
          <w:rFonts w:ascii="Times New Roman" w:eastAsia="Times New Roman" w:hAnsi="Times New Roman"/>
          <w:sz w:val="28"/>
          <w:szCs w:val="28"/>
          <w:lang w:val="uk-UA" w:eastAsia="ru-RU"/>
        </w:rPr>
        <w:t xml:space="preserve"> обумовленого насильства закріплені в таких спеціальних міжнародних актах ООН, як: Конвенція про політичні права жінок від 1952 р., Конвенція про ліквідацію всіх форм дискримінації щодо жінок від 1979 р., Статут Організації Об'єднаних Націй від 1945 р., Конвенція про боротьбу з торгівлею людьми і з експлуатацією проституції третіми особами від 1949 р.,</w:t>
      </w:r>
      <w:r>
        <w:rPr>
          <w:sz w:val="28"/>
          <w:szCs w:val="28"/>
          <w:lang w:val="uk-UA"/>
        </w:rPr>
        <w:t xml:space="preserve"> </w:t>
      </w:r>
      <w:r>
        <w:rPr>
          <w:rFonts w:ascii="Times New Roman" w:eastAsia="Times New Roman" w:hAnsi="Times New Roman"/>
          <w:sz w:val="28"/>
          <w:szCs w:val="28"/>
          <w:lang w:val="uk-UA" w:eastAsia="ru-RU"/>
        </w:rPr>
        <w:t xml:space="preserve">Декларація про ліквідацію дискримінації у відношенні жінок від 1967 р., Резолюція Ради Безпеки ООН №1325(2000) «Жінки. Мир. Безпека» та інших резолюціях у цій сфері. </w:t>
      </w:r>
    </w:p>
    <w:p w:rsidR="009B1EBB" w:rsidRPr="00F97C70" w:rsidRDefault="009B1EBB" w:rsidP="009B1EBB">
      <w:pPr>
        <w:spacing w:after="0" w:line="360" w:lineRule="auto"/>
        <w:ind w:firstLine="567"/>
        <w:jc w:val="both"/>
        <w:rPr>
          <w:rFonts w:ascii="Times New Roman" w:eastAsia="Times New Roman" w:hAnsi="Times New Roman"/>
          <w:sz w:val="28"/>
          <w:szCs w:val="28"/>
          <w:lang w:val="uk-UA" w:eastAsia="ru-RU"/>
        </w:rPr>
      </w:pPr>
      <w:r w:rsidRPr="00F97C70">
        <w:rPr>
          <w:rFonts w:ascii="Times New Roman" w:eastAsia="Times New Roman" w:hAnsi="Times New Roman"/>
          <w:sz w:val="28"/>
          <w:szCs w:val="28"/>
          <w:lang w:val="uk-UA" w:eastAsia="ru-RU"/>
        </w:rPr>
        <w:t xml:space="preserve">Міжнародні документи у сфері гендерної рівності, зокрема, стали основою для формування відповідної нормативної основи забезпечення рівних прав і свобод людини і громадянина в Україні. </w:t>
      </w:r>
    </w:p>
    <w:p w:rsidR="00624DF4" w:rsidRDefault="00624DF4" w:rsidP="009B1EBB">
      <w:pPr>
        <w:spacing w:after="0"/>
        <w:rPr>
          <w:lang w:val="uk-UA"/>
        </w:rPr>
      </w:pPr>
    </w:p>
    <w:p w:rsidR="007B3484" w:rsidRPr="007B3484" w:rsidRDefault="007B3484" w:rsidP="009B1EBB">
      <w:pPr>
        <w:spacing w:after="0" w:line="360" w:lineRule="auto"/>
        <w:ind w:firstLine="567"/>
        <w:jc w:val="center"/>
        <w:rPr>
          <w:rFonts w:ascii="Times New Roman" w:eastAsia="Times New Roman" w:hAnsi="Times New Roman"/>
          <w:b/>
          <w:sz w:val="28"/>
          <w:szCs w:val="28"/>
          <w:lang w:val="uk-UA" w:eastAsia="ru-RU"/>
        </w:rPr>
      </w:pPr>
      <w:r w:rsidRPr="007B3484">
        <w:rPr>
          <w:rFonts w:ascii="Times New Roman" w:eastAsia="Times New Roman" w:hAnsi="Times New Roman"/>
          <w:b/>
          <w:sz w:val="28"/>
          <w:szCs w:val="28"/>
          <w:lang w:val="uk-UA" w:eastAsia="ru-RU"/>
        </w:rPr>
        <w:t>ІІ. МІЖНАРОДН</w:t>
      </w:r>
      <w:r>
        <w:rPr>
          <w:rFonts w:ascii="Times New Roman" w:eastAsia="Times New Roman" w:hAnsi="Times New Roman"/>
          <w:b/>
          <w:sz w:val="28"/>
          <w:szCs w:val="28"/>
          <w:lang w:val="uk-UA" w:eastAsia="ru-RU"/>
        </w:rPr>
        <w:t>І</w:t>
      </w:r>
      <w:r w:rsidRPr="007B3484">
        <w:rPr>
          <w:rFonts w:ascii="Times New Roman" w:eastAsia="Times New Roman" w:hAnsi="Times New Roman"/>
          <w:b/>
          <w:sz w:val="28"/>
          <w:szCs w:val="28"/>
          <w:lang w:val="uk-UA" w:eastAsia="ru-RU"/>
        </w:rPr>
        <w:t xml:space="preserve"> ІНСТИТУЦІ</w:t>
      </w:r>
      <w:r>
        <w:rPr>
          <w:rFonts w:ascii="Times New Roman" w:eastAsia="Times New Roman" w:hAnsi="Times New Roman"/>
          <w:b/>
          <w:sz w:val="28"/>
          <w:szCs w:val="28"/>
          <w:lang w:val="uk-UA" w:eastAsia="ru-RU"/>
        </w:rPr>
        <w:t>Ї, ЩО</w:t>
      </w:r>
      <w:r w:rsidRPr="007B3484">
        <w:rPr>
          <w:rFonts w:ascii="Times New Roman" w:eastAsia="Times New Roman" w:hAnsi="Times New Roman"/>
          <w:b/>
          <w:sz w:val="28"/>
          <w:szCs w:val="28"/>
          <w:lang w:val="uk-UA" w:eastAsia="ru-RU"/>
        </w:rPr>
        <w:t xml:space="preserve"> ЗАБЕЗПЕЧ</w:t>
      </w:r>
      <w:r>
        <w:rPr>
          <w:rFonts w:ascii="Times New Roman" w:eastAsia="Times New Roman" w:hAnsi="Times New Roman"/>
          <w:b/>
          <w:sz w:val="28"/>
          <w:szCs w:val="28"/>
          <w:lang w:val="uk-UA" w:eastAsia="ru-RU"/>
        </w:rPr>
        <w:t xml:space="preserve">УЮТЬ </w:t>
      </w:r>
      <w:r w:rsidRPr="007B3484">
        <w:rPr>
          <w:rFonts w:ascii="Times New Roman" w:eastAsia="Times New Roman" w:hAnsi="Times New Roman"/>
          <w:b/>
          <w:sz w:val="28"/>
          <w:szCs w:val="28"/>
          <w:lang w:val="uk-UA" w:eastAsia="ru-RU"/>
        </w:rPr>
        <w:t>ГЕНДЕРН</w:t>
      </w:r>
      <w:r>
        <w:rPr>
          <w:rFonts w:ascii="Times New Roman" w:eastAsia="Times New Roman" w:hAnsi="Times New Roman"/>
          <w:b/>
          <w:sz w:val="28"/>
          <w:szCs w:val="28"/>
          <w:lang w:val="uk-UA" w:eastAsia="ru-RU"/>
        </w:rPr>
        <w:t>У</w:t>
      </w:r>
      <w:r w:rsidRPr="007B3484">
        <w:rPr>
          <w:rFonts w:ascii="Times New Roman" w:eastAsia="Times New Roman" w:hAnsi="Times New Roman"/>
          <w:b/>
          <w:sz w:val="28"/>
          <w:szCs w:val="28"/>
          <w:lang w:val="uk-UA" w:eastAsia="ru-RU"/>
        </w:rPr>
        <w:t xml:space="preserve"> РІВН</w:t>
      </w:r>
      <w:r>
        <w:rPr>
          <w:rFonts w:ascii="Times New Roman" w:eastAsia="Times New Roman" w:hAnsi="Times New Roman"/>
          <w:b/>
          <w:sz w:val="28"/>
          <w:szCs w:val="28"/>
          <w:lang w:val="uk-UA" w:eastAsia="ru-RU"/>
        </w:rPr>
        <w:t>ІСТЬ</w:t>
      </w:r>
    </w:p>
    <w:p w:rsidR="007B3484" w:rsidRPr="007B3484" w:rsidRDefault="007B3484" w:rsidP="009B1EBB">
      <w:pPr>
        <w:spacing w:after="0" w:line="360" w:lineRule="auto"/>
        <w:ind w:firstLine="567"/>
        <w:jc w:val="both"/>
        <w:rPr>
          <w:rFonts w:ascii="Times New Roman" w:eastAsia="Times New Roman" w:hAnsi="Times New Roman"/>
          <w:sz w:val="28"/>
          <w:szCs w:val="28"/>
          <w:lang w:val="uk-UA" w:eastAsia="ru-RU"/>
        </w:rPr>
      </w:pPr>
      <w:r w:rsidRPr="007B3484">
        <w:rPr>
          <w:rFonts w:ascii="Times New Roman" w:eastAsia="Times New Roman" w:hAnsi="Times New Roman"/>
          <w:sz w:val="28"/>
          <w:szCs w:val="28"/>
          <w:lang w:val="uk-UA" w:eastAsia="ru-RU"/>
        </w:rPr>
        <w:t>Різні міжнародні організації, наприклад, Рада Європи, ООН, Національний демократичний інститут (НДІ), Агентство США з міжнародного розвитку (USAID), Шведське агентство з питань міжнародного розвитку (SIDA) тощо, активно підтримують українські державні установи у створенні й реалізації політики гендерної рівності, посиленні співробітництва з інститутами громадянського суспільства і збільшенні кількості жінок, що беруть уча</w:t>
      </w:r>
      <w:r w:rsidR="00624DF4">
        <w:rPr>
          <w:rFonts w:ascii="Times New Roman" w:eastAsia="Times New Roman" w:hAnsi="Times New Roman"/>
          <w:sz w:val="28"/>
          <w:szCs w:val="28"/>
          <w:lang w:val="uk-UA" w:eastAsia="ru-RU"/>
        </w:rPr>
        <w:t>сть в політичному житті країни</w:t>
      </w:r>
      <w:r w:rsidRPr="007B3484">
        <w:rPr>
          <w:rFonts w:ascii="Times New Roman" w:eastAsia="Times New Roman" w:hAnsi="Times New Roman"/>
          <w:b/>
          <w:i/>
          <w:sz w:val="28"/>
          <w:szCs w:val="28"/>
          <w:lang w:val="uk-UA" w:eastAsia="ru-RU"/>
        </w:rPr>
        <w:t>.</w:t>
      </w:r>
      <w:r w:rsidRPr="007B3484">
        <w:rPr>
          <w:rFonts w:ascii="Times New Roman" w:eastAsia="Times New Roman" w:hAnsi="Times New Roman"/>
          <w:sz w:val="28"/>
          <w:szCs w:val="28"/>
          <w:lang w:val="uk-UA" w:eastAsia="ru-RU"/>
        </w:rPr>
        <w:t xml:space="preserve"> Відповідно до міжнародних угод та меморандумів, в Україні діє </w:t>
      </w:r>
      <w:r w:rsidRPr="007B3484">
        <w:rPr>
          <w:rFonts w:ascii="Times New Roman" w:eastAsia="Times New Roman" w:hAnsi="Times New Roman"/>
          <w:b/>
          <w:sz w:val="28"/>
          <w:szCs w:val="28"/>
          <w:lang w:val="uk-UA" w:eastAsia="ru-RU"/>
        </w:rPr>
        <w:t>система міжнародних та регіональних спеціалізовані установ, представництв, фондів та програми</w:t>
      </w:r>
      <w:r w:rsidRPr="007B3484">
        <w:rPr>
          <w:rFonts w:ascii="Times New Roman" w:eastAsia="Times New Roman" w:hAnsi="Times New Roman"/>
          <w:sz w:val="28"/>
          <w:szCs w:val="28"/>
          <w:lang w:val="uk-UA" w:eastAsia="ru-RU"/>
        </w:rPr>
        <w:t xml:space="preserve"> Організації Об’єднаних Націй (ООН), Ради Європи, ОБСЄ та ін. Вони доповнюють інституційну (організаційно-правову) </w:t>
      </w:r>
      <w:r w:rsidRPr="007B3484">
        <w:rPr>
          <w:rFonts w:ascii="Times New Roman" w:eastAsia="Times New Roman" w:hAnsi="Times New Roman"/>
          <w:bCs/>
          <w:sz w:val="28"/>
          <w:szCs w:val="28"/>
          <w:lang w:val="uk-UA" w:eastAsia="ru-RU"/>
        </w:rPr>
        <w:t xml:space="preserve">складову </w:t>
      </w:r>
      <w:r w:rsidRPr="007B3484">
        <w:rPr>
          <w:rFonts w:ascii="Times New Roman" w:eastAsia="Times New Roman" w:hAnsi="Times New Roman"/>
          <w:sz w:val="28"/>
          <w:szCs w:val="28"/>
          <w:lang w:val="uk-UA" w:eastAsia="ru-RU"/>
        </w:rPr>
        <w:t xml:space="preserve">національного механізму забезпечення принципу гендерної рівності, отож, доцільно проаналізувати основні з них. </w:t>
      </w:r>
    </w:p>
    <w:p w:rsidR="007B3484" w:rsidRPr="007B3484" w:rsidRDefault="007B3484" w:rsidP="009B1EBB">
      <w:pPr>
        <w:spacing w:after="0" w:line="360" w:lineRule="auto"/>
        <w:ind w:firstLine="567"/>
        <w:jc w:val="both"/>
        <w:rPr>
          <w:rFonts w:ascii="Times New Roman" w:eastAsia="Times New Roman" w:hAnsi="Times New Roman"/>
          <w:sz w:val="28"/>
          <w:szCs w:val="28"/>
          <w:lang w:val="uk-UA" w:eastAsia="ru-RU"/>
        </w:rPr>
      </w:pPr>
      <w:r w:rsidRPr="007B3484">
        <w:rPr>
          <w:rFonts w:ascii="Times New Roman" w:eastAsia="Times New Roman" w:hAnsi="Times New Roman"/>
          <w:sz w:val="28"/>
          <w:szCs w:val="28"/>
          <w:lang w:val="uk-UA" w:eastAsia="ru-RU"/>
        </w:rPr>
        <w:lastRenderedPageBreak/>
        <w:t xml:space="preserve">Україна – держава-член ООН і відтак зобов'язана впроваджувати резолюції Ради безпеки ООН. На сьогодні Рада безпеки ООН прийняла вісім резолюцій щодо </w:t>
      </w:r>
      <w:proofErr w:type="spellStart"/>
      <w:r w:rsidRPr="007B3484">
        <w:rPr>
          <w:rFonts w:ascii="Times New Roman" w:eastAsia="Times New Roman" w:hAnsi="Times New Roman"/>
          <w:sz w:val="28"/>
          <w:szCs w:val="28"/>
          <w:lang w:val="uk-UA" w:eastAsia="ru-RU"/>
        </w:rPr>
        <w:t>гендеру</w:t>
      </w:r>
      <w:proofErr w:type="spellEnd"/>
      <w:r w:rsidRPr="007B3484">
        <w:rPr>
          <w:rFonts w:ascii="Times New Roman" w:eastAsia="Times New Roman" w:hAnsi="Times New Roman"/>
          <w:sz w:val="28"/>
          <w:szCs w:val="28"/>
          <w:lang w:val="uk-UA" w:eastAsia="ru-RU"/>
        </w:rPr>
        <w:t>, які складають порядок денний Резолюції 1325 «Жінки, мир, безпека». Крім того, Україна погодила та долучилась до досягнення цілей сталого розвитку (SDG), зокрема Цілі 5: Гендерна рівність.</w:t>
      </w:r>
    </w:p>
    <w:p w:rsidR="007B3484" w:rsidRPr="007B3484" w:rsidRDefault="007B3484" w:rsidP="009B1EBB">
      <w:pPr>
        <w:spacing w:after="0" w:line="360" w:lineRule="auto"/>
        <w:ind w:firstLine="567"/>
        <w:jc w:val="both"/>
        <w:rPr>
          <w:rFonts w:ascii="Times New Roman" w:eastAsia="Times New Roman" w:hAnsi="Times New Roman"/>
          <w:sz w:val="28"/>
          <w:szCs w:val="28"/>
          <w:lang w:val="uk-UA" w:eastAsia="ru-RU"/>
        </w:rPr>
      </w:pPr>
      <w:r w:rsidRPr="007B3484">
        <w:rPr>
          <w:rFonts w:ascii="Times New Roman" w:eastAsia="Times New Roman" w:hAnsi="Times New Roman"/>
          <w:sz w:val="28"/>
          <w:szCs w:val="28"/>
          <w:lang w:val="uk-UA" w:eastAsia="ru-RU"/>
        </w:rPr>
        <w:t xml:space="preserve">Принцип гендерної рівності у системі прав людини є об’єктом постійної уваги Організації Об’єднаних Націй. Група установ ООН в Україні складається з представництв та офісів фондів, програм і спеціалізованих установ ООН, включаючи нерезидентів, проектні агенції та представництво </w:t>
      </w:r>
      <w:proofErr w:type="spellStart"/>
      <w:r w:rsidRPr="007B3484">
        <w:rPr>
          <w:rFonts w:ascii="Times New Roman" w:eastAsia="Times New Roman" w:hAnsi="Times New Roman"/>
          <w:sz w:val="28"/>
          <w:szCs w:val="28"/>
          <w:lang w:val="uk-UA" w:eastAsia="ru-RU"/>
        </w:rPr>
        <w:t>Бреттон</w:t>
      </w:r>
      <w:proofErr w:type="spellEnd"/>
      <w:r w:rsidRPr="007B3484">
        <w:rPr>
          <w:rFonts w:ascii="Times New Roman" w:eastAsia="Times New Roman" w:hAnsi="Times New Roman"/>
          <w:sz w:val="28"/>
          <w:szCs w:val="28"/>
          <w:lang w:val="uk-UA" w:eastAsia="ru-RU"/>
        </w:rPr>
        <w:t xml:space="preserve"> </w:t>
      </w:r>
      <w:proofErr w:type="spellStart"/>
      <w:r w:rsidRPr="007B3484">
        <w:rPr>
          <w:rFonts w:ascii="Times New Roman" w:eastAsia="Times New Roman" w:hAnsi="Times New Roman"/>
          <w:sz w:val="28"/>
          <w:szCs w:val="28"/>
          <w:lang w:val="uk-UA" w:eastAsia="ru-RU"/>
        </w:rPr>
        <w:t>Вудських</w:t>
      </w:r>
      <w:proofErr w:type="spellEnd"/>
      <w:r w:rsidRPr="007B3484">
        <w:rPr>
          <w:rFonts w:ascii="Times New Roman" w:eastAsia="Times New Roman" w:hAnsi="Times New Roman"/>
          <w:sz w:val="28"/>
          <w:szCs w:val="28"/>
          <w:lang w:val="uk-UA" w:eastAsia="ru-RU"/>
        </w:rPr>
        <w:t xml:space="preserve"> установ</w:t>
      </w:r>
      <w:r w:rsidR="00624DF4">
        <w:rPr>
          <w:rFonts w:ascii="Times New Roman" w:eastAsia="Times New Roman" w:hAnsi="Times New Roman"/>
          <w:sz w:val="28"/>
          <w:szCs w:val="28"/>
          <w:lang w:val="uk-UA" w:eastAsia="ru-RU"/>
        </w:rPr>
        <w:t>.</w:t>
      </w:r>
      <w:r w:rsidRPr="007B3484">
        <w:rPr>
          <w:rFonts w:ascii="Times New Roman" w:eastAsia="Times New Roman" w:hAnsi="Times New Roman"/>
          <w:b/>
          <w:i/>
          <w:sz w:val="28"/>
          <w:szCs w:val="28"/>
          <w:lang w:val="uk-UA" w:eastAsia="ru-RU"/>
        </w:rPr>
        <w:t xml:space="preserve"> </w:t>
      </w:r>
      <w:r w:rsidRPr="007B3484">
        <w:rPr>
          <w:rFonts w:ascii="Times New Roman" w:eastAsia="Times New Roman" w:hAnsi="Times New Roman"/>
          <w:sz w:val="28"/>
          <w:szCs w:val="28"/>
          <w:lang w:val="uk-UA" w:eastAsia="ru-RU"/>
        </w:rPr>
        <w:t>Різними питаннями забезпечення принципу гендерної рівності в Україні, безпосередньо чи опосередковано займаються: Управління Верховного комісара ООН з прав людини, Фонд народонаселення ООН, Структура ООН з питань гендерної рівності та розширення прав і можливостей жінок, Програма розвитку ООН та ін.</w:t>
      </w:r>
    </w:p>
    <w:p w:rsidR="007B3484" w:rsidRPr="007B3484" w:rsidRDefault="007B3484" w:rsidP="009B1EBB">
      <w:pPr>
        <w:spacing w:after="0" w:line="360" w:lineRule="auto"/>
        <w:ind w:firstLine="567"/>
        <w:jc w:val="both"/>
        <w:rPr>
          <w:rFonts w:ascii="Times New Roman" w:eastAsia="Times New Roman" w:hAnsi="Times New Roman"/>
          <w:sz w:val="28"/>
          <w:szCs w:val="28"/>
          <w:lang w:val="uk-UA" w:eastAsia="ru-RU"/>
        </w:rPr>
      </w:pPr>
      <w:r w:rsidRPr="007B3484">
        <w:rPr>
          <w:rFonts w:ascii="Times New Roman" w:eastAsia="Times New Roman" w:hAnsi="Times New Roman"/>
          <w:sz w:val="28"/>
          <w:szCs w:val="28"/>
          <w:lang w:val="uk-UA" w:eastAsia="ru-RU"/>
        </w:rPr>
        <w:t xml:space="preserve">Мережа представництв ООН надає Україні інформаційні, організаційні, фінансові ресурси для розв’язання проблем забезпечення принципу гендерної рівності. </w:t>
      </w:r>
    </w:p>
    <w:p w:rsidR="007B3484" w:rsidRPr="007B3484" w:rsidRDefault="007B3484" w:rsidP="009B1EBB">
      <w:pPr>
        <w:spacing w:after="0" w:line="360" w:lineRule="auto"/>
        <w:ind w:firstLine="567"/>
        <w:jc w:val="both"/>
        <w:rPr>
          <w:rFonts w:ascii="Times New Roman" w:eastAsia="Times New Roman" w:hAnsi="Times New Roman"/>
          <w:sz w:val="28"/>
          <w:szCs w:val="28"/>
          <w:lang w:val="uk-UA" w:eastAsia="ru-RU"/>
        </w:rPr>
      </w:pPr>
      <w:r w:rsidRPr="007B3484">
        <w:rPr>
          <w:rFonts w:ascii="Times New Roman" w:eastAsia="Times New Roman" w:hAnsi="Times New Roman"/>
          <w:sz w:val="28"/>
          <w:szCs w:val="28"/>
          <w:lang w:val="uk-UA" w:eastAsia="ru-RU"/>
        </w:rPr>
        <w:t>Рада Європи є провідним захисником прав людини на європейському континенті. Досягнення гендерної рівності є ключовим елементом у реалізації місії Ради Європи, суть якої – захищати права людини, підтримувати демократію та забезпечувати принцип верховенства права</w:t>
      </w:r>
      <w:r w:rsidRPr="007B3484">
        <w:rPr>
          <w:rFonts w:ascii="Times New Roman" w:eastAsia="Times New Roman" w:hAnsi="Times New Roman"/>
          <w:b/>
          <w:i/>
          <w:sz w:val="28"/>
          <w:szCs w:val="28"/>
          <w:lang w:val="uk-UA" w:eastAsia="ru-RU"/>
        </w:rPr>
        <w:t>.</w:t>
      </w:r>
      <w:r w:rsidRPr="007B3484">
        <w:rPr>
          <w:rFonts w:ascii="Times New Roman" w:eastAsia="Times New Roman" w:hAnsi="Times New Roman"/>
          <w:sz w:val="28"/>
          <w:szCs w:val="28"/>
          <w:lang w:val="uk-UA" w:eastAsia="ru-RU"/>
        </w:rPr>
        <w:t xml:space="preserve"> Офіс Ради Європи в Україні є інституційною формою співробітництва між Урядом України та Радою Європи, створений для координації програм співробіт</w:t>
      </w:r>
      <w:r w:rsidR="00624DF4">
        <w:rPr>
          <w:rFonts w:ascii="Times New Roman" w:eastAsia="Times New Roman" w:hAnsi="Times New Roman"/>
          <w:sz w:val="28"/>
          <w:szCs w:val="28"/>
          <w:lang w:val="uk-UA" w:eastAsia="ru-RU"/>
        </w:rPr>
        <w:t xml:space="preserve">ництва Ради Європи. </w:t>
      </w:r>
      <w:r w:rsidRPr="007B3484">
        <w:rPr>
          <w:rFonts w:ascii="Times New Roman" w:eastAsia="Times New Roman" w:hAnsi="Times New Roman"/>
          <w:sz w:val="28"/>
          <w:szCs w:val="28"/>
          <w:lang w:val="uk-UA" w:eastAsia="ru-RU"/>
        </w:rPr>
        <w:t>На сьогодні Офіс Ради Європи в Україні реалізує проекти та програми, що впливають на забезпечення принципу гендерної рівності,</w:t>
      </w:r>
      <w:r w:rsidR="00D85EB4">
        <w:rPr>
          <w:rFonts w:ascii="Times New Roman" w:eastAsia="Times New Roman" w:hAnsi="Times New Roman"/>
          <w:sz w:val="28"/>
          <w:szCs w:val="28"/>
          <w:lang w:val="uk-UA" w:eastAsia="ru-RU"/>
        </w:rPr>
        <w:t xml:space="preserve"> </w:t>
      </w:r>
      <w:r w:rsidRPr="007B3484">
        <w:rPr>
          <w:rFonts w:ascii="Times New Roman" w:eastAsia="Times New Roman" w:hAnsi="Times New Roman"/>
          <w:sz w:val="28"/>
          <w:szCs w:val="28"/>
          <w:lang w:val="uk-UA" w:eastAsia="ru-RU"/>
        </w:rPr>
        <w:t xml:space="preserve"> серед них: «Боротьба з насильством щодо жінок та дітей в Україні», «Посилення імплементації європейських стандартів прав людини в Україні», «Посилення захисту прав людини внутрішньо переміщених осіб в Україні», «Сприяння розвитку місцевої демократії в Україні».</w:t>
      </w:r>
    </w:p>
    <w:p w:rsidR="007B3484" w:rsidRPr="007B3484" w:rsidRDefault="007B3484" w:rsidP="009B1EBB">
      <w:pPr>
        <w:spacing w:after="0" w:line="360" w:lineRule="auto"/>
        <w:ind w:firstLine="567"/>
        <w:jc w:val="both"/>
        <w:rPr>
          <w:rFonts w:ascii="Times New Roman" w:eastAsia="Times New Roman" w:hAnsi="Times New Roman"/>
          <w:sz w:val="28"/>
          <w:szCs w:val="28"/>
          <w:lang w:val="uk-UA" w:eastAsia="ru-RU"/>
        </w:rPr>
      </w:pPr>
      <w:r w:rsidRPr="007B3484">
        <w:rPr>
          <w:rFonts w:ascii="Times New Roman" w:eastAsia="Times New Roman" w:hAnsi="Times New Roman"/>
          <w:sz w:val="28"/>
          <w:szCs w:val="28"/>
          <w:lang w:val="uk-UA" w:eastAsia="ru-RU"/>
        </w:rPr>
        <w:lastRenderedPageBreak/>
        <w:t>Рада Європи продовжує активно вирішувати як поточні, так і нові виклики й усувати бар’єри для досягнення реальної і повної гендерної рівності. Робота Ради Європи в галузі прав людини та гендерної рівності призвела до появи комплексних правових документів, спрямованих на досягнення кращого становища та розширення прав і можливостей жінок та ефективної реалізації гендерної рівності в державах-членах і за їх межами</w:t>
      </w:r>
      <w:r w:rsidRPr="007B3484">
        <w:rPr>
          <w:rFonts w:ascii="Times New Roman" w:eastAsia="Times New Roman" w:hAnsi="Times New Roman"/>
          <w:b/>
          <w:i/>
          <w:sz w:val="28"/>
          <w:szCs w:val="28"/>
          <w:lang w:val="uk-UA" w:eastAsia="ru-RU"/>
        </w:rPr>
        <w:t>.</w:t>
      </w:r>
      <w:r w:rsidRPr="007B3484">
        <w:rPr>
          <w:rFonts w:ascii="Times New Roman" w:eastAsia="Times New Roman" w:hAnsi="Times New Roman"/>
          <w:sz w:val="28"/>
          <w:szCs w:val="28"/>
          <w:lang w:val="uk-UA" w:eastAsia="ru-RU"/>
        </w:rPr>
        <w:t xml:space="preserve"> Новаторські підходи у діяльності Офісу Ради Європи в Україні сприяють захисту прав чоловіків і жінок в українському суспільстві через удосконалення нормативно-правового регулювання та інституційного забезпечення принципу гендерної рівності.</w:t>
      </w:r>
    </w:p>
    <w:p w:rsidR="007B3484" w:rsidRPr="007B3484" w:rsidRDefault="007B3484" w:rsidP="009B1EBB">
      <w:pPr>
        <w:spacing w:after="0" w:line="360" w:lineRule="auto"/>
        <w:ind w:firstLine="567"/>
        <w:jc w:val="both"/>
        <w:rPr>
          <w:rFonts w:ascii="Times New Roman" w:eastAsia="Times New Roman" w:hAnsi="Times New Roman"/>
          <w:sz w:val="28"/>
          <w:szCs w:val="28"/>
          <w:lang w:val="uk-UA" w:eastAsia="ru-RU"/>
        </w:rPr>
      </w:pPr>
      <w:r w:rsidRPr="007B3484">
        <w:rPr>
          <w:rFonts w:ascii="Times New Roman" w:eastAsia="Times New Roman" w:hAnsi="Times New Roman"/>
          <w:sz w:val="28"/>
          <w:szCs w:val="28"/>
          <w:lang w:val="uk-UA" w:eastAsia="ru-RU"/>
        </w:rPr>
        <w:t>Демократія, права людини та врядування є одним з напрямків діяльності</w:t>
      </w:r>
      <w:r w:rsidRPr="007B3484">
        <w:rPr>
          <w:rFonts w:asciiTheme="minorHAnsi" w:eastAsiaTheme="minorHAnsi" w:hAnsiTheme="minorHAnsi" w:cstheme="minorBidi"/>
        </w:rPr>
        <w:t xml:space="preserve"> </w:t>
      </w:r>
      <w:r w:rsidRPr="007B3484">
        <w:rPr>
          <w:rFonts w:ascii="Times New Roman" w:eastAsia="Times New Roman" w:hAnsi="Times New Roman"/>
          <w:sz w:val="28"/>
          <w:szCs w:val="28"/>
          <w:lang w:val="uk-UA" w:eastAsia="ru-RU"/>
        </w:rPr>
        <w:t>Агентства США з міжнародного розвитку (USAID) в Україні. USAID – організація, що здійснює підтримку демократичних перетворень у колишніх радянських державах. Передусім, її зусилля спрямовані на допомогу у створенні демократичних інститутів та проведення глобальної інтеграції країн до вільної ринкової економіки. Організація визнає пріоритетом протидію торгівлі людьми та надання гуманітарної допомоги тим особам, які</w:t>
      </w:r>
      <w:r w:rsidR="00624DF4">
        <w:rPr>
          <w:rFonts w:ascii="Times New Roman" w:eastAsia="Times New Roman" w:hAnsi="Times New Roman"/>
          <w:sz w:val="28"/>
          <w:szCs w:val="28"/>
          <w:lang w:val="uk-UA" w:eastAsia="ru-RU"/>
        </w:rPr>
        <w:t xml:space="preserve"> проживають у конфліктних зонах.</w:t>
      </w:r>
      <w:r w:rsidRPr="007B3484">
        <w:rPr>
          <w:rFonts w:ascii="Times New Roman" w:eastAsia="Times New Roman" w:hAnsi="Times New Roman"/>
          <w:b/>
          <w:i/>
          <w:sz w:val="28"/>
          <w:szCs w:val="28"/>
          <w:lang w:val="uk-UA" w:eastAsia="ru-RU"/>
        </w:rPr>
        <w:t xml:space="preserve"> </w:t>
      </w:r>
      <w:r w:rsidRPr="007B3484">
        <w:rPr>
          <w:rFonts w:ascii="Times New Roman" w:eastAsia="Times New Roman" w:hAnsi="Times New Roman"/>
          <w:sz w:val="28"/>
          <w:szCs w:val="28"/>
          <w:lang w:val="uk-UA" w:eastAsia="ru-RU"/>
        </w:rPr>
        <w:t>Зміцнення демократії в державі є передумовою ефективного забезпечення принципу гендерної рівності, оскільки саме при демократичному політичному режимі, особа отримує належний захист прав, свобод і законних інтересів.</w:t>
      </w:r>
    </w:p>
    <w:p w:rsidR="007B3484" w:rsidRPr="007B3484" w:rsidRDefault="00D85EB4" w:rsidP="009B1EBB">
      <w:pPr>
        <w:spacing w:after="0" w:line="360" w:lineRule="auto"/>
        <w:ind w:firstLine="567"/>
        <w:jc w:val="both"/>
        <w:rPr>
          <w:rFonts w:ascii="Times New Roman" w:eastAsia="Times New Roman" w:hAnsi="Times New Roman"/>
          <w:bCs/>
          <w:sz w:val="28"/>
          <w:szCs w:val="28"/>
          <w:lang w:val="uk-UA" w:eastAsia="ru-RU"/>
        </w:rPr>
      </w:pPr>
      <w:r>
        <w:rPr>
          <w:rFonts w:ascii="Times New Roman" w:eastAsia="Times New Roman" w:hAnsi="Times New Roman"/>
          <w:sz w:val="28"/>
          <w:szCs w:val="28"/>
          <w:lang w:val="uk-UA" w:eastAsia="ru-RU"/>
        </w:rPr>
        <w:t>У</w:t>
      </w:r>
      <w:r w:rsidR="007B3484" w:rsidRPr="007B3484">
        <w:rPr>
          <w:rFonts w:ascii="Times New Roman" w:eastAsia="Times New Roman" w:hAnsi="Times New Roman"/>
          <w:sz w:val="28"/>
          <w:szCs w:val="28"/>
          <w:lang w:val="uk-UA" w:eastAsia="ru-RU"/>
        </w:rPr>
        <w:t xml:space="preserve"> межах напрямку діяльності USAID реалізується багато проектів, але впливають на забезпечення принципу гендерної рівності такі п</w:t>
      </w:r>
      <w:r w:rsidR="007B3484" w:rsidRPr="007B3484">
        <w:rPr>
          <w:rFonts w:ascii="Times New Roman" w:eastAsia="Times New Roman" w:hAnsi="Times New Roman"/>
          <w:bCs/>
          <w:sz w:val="28"/>
          <w:szCs w:val="28"/>
          <w:lang w:val="uk-UA" w:eastAsia="ru-RU"/>
        </w:rPr>
        <w:t>роекти, як «Реагування на порушення прав людини та забезпечення можливостей громадян і захисників прав людини» та «Боротьба з торгівлею людьми».</w:t>
      </w:r>
    </w:p>
    <w:p w:rsidR="007B3484" w:rsidRPr="007B3484" w:rsidRDefault="007B3484" w:rsidP="009B1EBB">
      <w:pPr>
        <w:spacing w:after="0" w:line="360" w:lineRule="auto"/>
        <w:ind w:firstLine="567"/>
        <w:jc w:val="both"/>
        <w:rPr>
          <w:rFonts w:ascii="Times New Roman" w:eastAsia="Times New Roman" w:hAnsi="Times New Roman"/>
          <w:bCs/>
          <w:sz w:val="28"/>
          <w:szCs w:val="28"/>
          <w:lang w:val="uk-UA" w:eastAsia="ru-RU"/>
        </w:rPr>
      </w:pPr>
      <w:r w:rsidRPr="007B3484">
        <w:rPr>
          <w:rFonts w:ascii="Times New Roman" w:eastAsia="Times New Roman" w:hAnsi="Times New Roman"/>
          <w:bCs/>
          <w:sz w:val="28"/>
          <w:szCs w:val="28"/>
          <w:lang w:val="uk-UA" w:eastAsia="ru-RU"/>
        </w:rPr>
        <w:t>Забезпечення принципу гендерної рівності в Україні є одним з напрямків діяльності Шведського агентства з питань міжнародного розвитку (SIDA), Національного Демократичного Інституту (NDI), Міжнародного фонду «Відродження»</w:t>
      </w:r>
      <w:r w:rsidRPr="007B3484">
        <w:rPr>
          <w:rFonts w:asciiTheme="minorHAnsi" w:eastAsiaTheme="minorHAnsi" w:hAnsiTheme="minorHAnsi" w:cstheme="minorBidi"/>
          <w:lang w:val="uk-UA"/>
        </w:rPr>
        <w:t xml:space="preserve">, </w:t>
      </w:r>
      <w:r w:rsidRPr="007B3484">
        <w:rPr>
          <w:rFonts w:ascii="Times New Roman" w:eastAsia="Times New Roman" w:hAnsi="Times New Roman"/>
          <w:bCs/>
          <w:sz w:val="28"/>
          <w:szCs w:val="28"/>
          <w:lang w:val="uk-UA" w:eastAsia="ru-RU"/>
        </w:rPr>
        <w:t xml:space="preserve">Представництва фонду ім. Ф. </w:t>
      </w:r>
      <w:proofErr w:type="spellStart"/>
      <w:r w:rsidRPr="007B3484">
        <w:rPr>
          <w:rFonts w:ascii="Times New Roman" w:eastAsia="Times New Roman" w:hAnsi="Times New Roman"/>
          <w:bCs/>
          <w:sz w:val="28"/>
          <w:szCs w:val="28"/>
          <w:lang w:val="uk-UA" w:eastAsia="ru-RU"/>
        </w:rPr>
        <w:t>Еберта</w:t>
      </w:r>
      <w:proofErr w:type="spellEnd"/>
      <w:r w:rsidRPr="007B3484">
        <w:rPr>
          <w:rFonts w:ascii="Times New Roman" w:eastAsia="Times New Roman" w:hAnsi="Times New Roman"/>
          <w:bCs/>
          <w:sz w:val="28"/>
          <w:szCs w:val="28"/>
          <w:lang w:val="uk-UA" w:eastAsia="ru-RU"/>
        </w:rPr>
        <w:t xml:space="preserve"> в Україні та інших. </w:t>
      </w:r>
    </w:p>
    <w:p w:rsidR="007B3484" w:rsidRPr="007B3484" w:rsidRDefault="007B3484" w:rsidP="009B1EBB">
      <w:pPr>
        <w:spacing w:after="0" w:line="360" w:lineRule="auto"/>
        <w:ind w:firstLine="567"/>
        <w:jc w:val="both"/>
        <w:rPr>
          <w:rFonts w:ascii="Times New Roman" w:eastAsia="Times New Roman" w:hAnsi="Times New Roman"/>
          <w:sz w:val="28"/>
          <w:szCs w:val="28"/>
          <w:lang w:val="uk-UA" w:eastAsia="ru-RU"/>
        </w:rPr>
      </w:pPr>
      <w:r w:rsidRPr="007B3484">
        <w:rPr>
          <w:rFonts w:ascii="Times New Roman" w:eastAsia="Times New Roman" w:hAnsi="Times New Roman"/>
          <w:sz w:val="28"/>
          <w:szCs w:val="28"/>
          <w:lang w:val="uk-UA" w:eastAsia="ru-RU"/>
        </w:rPr>
        <w:lastRenderedPageBreak/>
        <w:t xml:space="preserve">Важливість врахування міжнародного досвіду та рекомендацій у сфері забезпечення принципу гендерної рівності не викликає сумніву, тому співпраця України з міжнародними організаціями не повинна бути формальною. </w:t>
      </w:r>
    </w:p>
    <w:p w:rsidR="009B1EBB" w:rsidRDefault="00624DF4" w:rsidP="009B1EBB">
      <w:pPr>
        <w:spacing w:after="0"/>
        <w:ind w:firstLine="567"/>
        <w:jc w:val="center"/>
        <w:rPr>
          <w:rFonts w:ascii="Times New Roman" w:eastAsia="Times New Roman" w:hAnsi="Times New Roman"/>
          <w:b/>
          <w:bCs/>
          <w:sz w:val="28"/>
          <w:szCs w:val="28"/>
          <w:lang w:val="uk-UA" w:eastAsia="x-none"/>
        </w:rPr>
      </w:pPr>
      <w:r w:rsidRPr="009B1EBB">
        <w:rPr>
          <w:rFonts w:ascii="Times New Roman" w:eastAsia="Times New Roman" w:hAnsi="Times New Roman"/>
          <w:b/>
          <w:bCs/>
          <w:sz w:val="28"/>
          <w:szCs w:val="28"/>
          <w:lang w:val="uk-UA" w:eastAsia="x-none"/>
        </w:rPr>
        <w:t>ВИСНОВКИ ДО ДРУГОГО ПИТАННЯ</w:t>
      </w:r>
    </w:p>
    <w:p w:rsidR="009B1EBB" w:rsidRDefault="009B1EBB" w:rsidP="009B1EBB">
      <w:pPr>
        <w:spacing w:after="0" w:line="360" w:lineRule="auto"/>
        <w:ind w:firstLine="567"/>
        <w:jc w:val="both"/>
        <w:rPr>
          <w:rFonts w:ascii="Times New Roman" w:eastAsiaTheme="minorHAnsi" w:hAnsi="Times New Roman"/>
          <w:sz w:val="28"/>
          <w:szCs w:val="28"/>
          <w:lang w:val="uk-UA"/>
        </w:rPr>
      </w:pPr>
      <w:r>
        <w:rPr>
          <w:rFonts w:ascii="Times New Roman" w:eastAsia="Times New Roman" w:hAnsi="Times New Roman"/>
          <w:sz w:val="28"/>
          <w:szCs w:val="28"/>
          <w:lang w:val="uk-UA" w:eastAsia="ru-RU"/>
        </w:rPr>
        <w:t>Різні міжнародні організації, наприклад, Рада Європи, ООН, Національний демократичний інститут (НДІ), Агентство США з міжнародного розвитку (USAID), Шведське агентство з питань міжнародного розвитку (SIDA) тощо, активно підтримують українські державні установи у створенні й реалізації політики гендерної рівності, посиленні співробітництва з інститутами громадянського суспільства і збільшенні кількості жінок, що беруть участь в політичному житті країни</w:t>
      </w:r>
      <w:r>
        <w:rPr>
          <w:rFonts w:ascii="Times New Roman" w:eastAsia="Times New Roman" w:hAnsi="Times New Roman"/>
          <w:b/>
          <w:i/>
          <w:sz w:val="28"/>
          <w:szCs w:val="28"/>
          <w:lang w:val="uk-UA" w:eastAsia="ru-RU"/>
        </w:rPr>
        <w:t>.</w:t>
      </w:r>
      <w:r>
        <w:rPr>
          <w:rFonts w:ascii="Times New Roman" w:eastAsia="Times New Roman" w:hAnsi="Times New Roman"/>
          <w:sz w:val="28"/>
          <w:szCs w:val="28"/>
          <w:lang w:val="uk-UA" w:eastAsia="ru-RU"/>
        </w:rPr>
        <w:t xml:space="preserve"> Відповідно до міжнародних угод та меморандумів, в Україні діє </w:t>
      </w:r>
      <w:r>
        <w:rPr>
          <w:rFonts w:ascii="Times New Roman" w:eastAsia="Times New Roman" w:hAnsi="Times New Roman"/>
          <w:b/>
          <w:sz w:val="28"/>
          <w:szCs w:val="28"/>
          <w:lang w:val="uk-UA" w:eastAsia="ru-RU"/>
        </w:rPr>
        <w:t>система міжнародних та регіональних спеціалізовані установ, представництв, фондів та програми</w:t>
      </w:r>
      <w:r>
        <w:rPr>
          <w:rFonts w:ascii="Times New Roman" w:eastAsia="Times New Roman" w:hAnsi="Times New Roman"/>
          <w:sz w:val="28"/>
          <w:szCs w:val="28"/>
          <w:lang w:val="uk-UA" w:eastAsia="ru-RU"/>
        </w:rPr>
        <w:t xml:space="preserve"> Організації Об’єднаних Націй (ООН), Ради Європи, ОБСЄ та ін.</w:t>
      </w:r>
      <w:r w:rsidRPr="009B1EBB">
        <w:rPr>
          <w:rFonts w:ascii="Times New Roman" w:eastAsiaTheme="minorHAnsi" w:hAnsi="Times New Roman"/>
          <w:sz w:val="28"/>
          <w:szCs w:val="28"/>
          <w:lang w:val="uk-UA"/>
        </w:rPr>
        <w:t xml:space="preserve"> </w:t>
      </w:r>
    </w:p>
    <w:p w:rsidR="009B1EBB" w:rsidRPr="007B3484" w:rsidRDefault="009B1EBB" w:rsidP="009B1EBB">
      <w:pPr>
        <w:spacing w:after="0" w:line="360" w:lineRule="auto"/>
        <w:ind w:firstLine="567"/>
        <w:jc w:val="both"/>
        <w:rPr>
          <w:rFonts w:ascii="Times New Roman" w:eastAsiaTheme="minorHAnsi" w:hAnsi="Times New Roman"/>
          <w:sz w:val="28"/>
          <w:szCs w:val="28"/>
          <w:lang w:val="uk-UA"/>
        </w:rPr>
      </w:pPr>
      <w:r w:rsidRPr="007B3484">
        <w:rPr>
          <w:rFonts w:ascii="Times New Roman" w:eastAsiaTheme="minorHAnsi" w:hAnsi="Times New Roman"/>
          <w:sz w:val="28"/>
          <w:szCs w:val="28"/>
          <w:lang w:val="uk-UA"/>
        </w:rPr>
        <w:t xml:space="preserve">Міжнародний механізм поточного контролю за виконанням Україною міжнародних зобов’язань у сфері забезпечення принципу гендерного паритету відсутній. Це призводить до імітування національними інституціями реального забезпечення принципу гендерної рівності. </w:t>
      </w:r>
    </w:p>
    <w:p w:rsidR="009B1EBB" w:rsidRPr="007B3484" w:rsidRDefault="009B1EBB" w:rsidP="009B1EBB">
      <w:pPr>
        <w:spacing w:after="0" w:line="360" w:lineRule="auto"/>
        <w:ind w:firstLine="567"/>
        <w:jc w:val="both"/>
        <w:rPr>
          <w:rFonts w:ascii="Times New Roman" w:eastAsia="Times New Roman" w:hAnsi="Times New Roman"/>
          <w:sz w:val="28"/>
          <w:szCs w:val="28"/>
          <w:lang w:val="uk-UA" w:eastAsia="ru-RU"/>
        </w:rPr>
      </w:pPr>
      <w:r w:rsidRPr="007B3484">
        <w:rPr>
          <w:rFonts w:ascii="Times New Roman" w:eastAsiaTheme="minorHAnsi" w:hAnsi="Times New Roman"/>
          <w:sz w:val="28"/>
          <w:szCs w:val="28"/>
          <w:lang w:val="uk-UA"/>
        </w:rPr>
        <w:t>Відчутною проблемою є те, що міжнародні організації, утримуються від забезпечення принципу гендерної рівності в Україні та підтримки жінок, які знаходяться на непідконтрольній території, через відсутність гарантій безпеки.</w:t>
      </w:r>
    </w:p>
    <w:p w:rsidR="00624DF4" w:rsidRDefault="00624DF4" w:rsidP="009B1EBB">
      <w:pPr>
        <w:spacing w:after="0" w:line="360" w:lineRule="auto"/>
        <w:ind w:firstLine="567"/>
        <w:jc w:val="both"/>
        <w:rPr>
          <w:rFonts w:ascii="Times New Roman" w:eastAsia="Times New Roman" w:hAnsi="Times New Roman"/>
          <w:b/>
          <w:bCs/>
          <w:sz w:val="28"/>
          <w:szCs w:val="28"/>
          <w:lang w:val="uk-UA" w:eastAsia="x-none"/>
        </w:rPr>
      </w:pPr>
    </w:p>
    <w:p w:rsidR="007B3484" w:rsidRPr="007B3484" w:rsidRDefault="00F76D35" w:rsidP="009B1EBB">
      <w:pPr>
        <w:spacing w:after="0"/>
        <w:jc w:val="center"/>
        <w:rPr>
          <w:lang w:val="uk-UA"/>
        </w:rPr>
      </w:pPr>
      <w:r w:rsidRPr="00F76D35">
        <w:rPr>
          <w:rFonts w:ascii="Times New Roman" w:eastAsia="Times New Roman" w:hAnsi="Times New Roman"/>
          <w:b/>
          <w:bCs/>
          <w:sz w:val="28"/>
          <w:szCs w:val="28"/>
          <w:lang w:val="uk-UA" w:eastAsia="x-none"/>
        </w:rPr>
        <w:t xml:space="preserve">ІІІ. </w:t>
      </w:r>
      <w:r w:rsidRPr="007B3484">
        <w:rPr>
          <w:rFonts w:ascii="Times New Roman" w:eastAsia="Times New Roman" w:hAnsi="Times New Roman"/>
          <w:b/>
          <w:bCs/>
          <w:sz w:val="28"/>
          <w:szCs w:val="28"/>
          <w:lang w:val="uk-UA" w:eastAsia="x-none"/>
        </w:rPr>
        <w:t>МІЖНАРОДНИЙ ДОСВІД ПРОТИДІЇ ГЕНДЕРНО ОБУМОВЛЕНОМУ НАСИЛЬСТВУ</w:t>
      </w:r>
    </w:p>
    <w:p w:rsidR="007B3484" w:rsidRPr="007B3484" w:rsidRDefault="007B3484" w:rsidP="009B1EBB">
      <w:pPr>
        <w:spacing w:after="0" w:line="360" w:lineRule="auto"/>
        <w:ind w:firstLine="708"/>
        <w:jc w:val="both"/>
        <w:rPr>
          <w:rFonts w:ascii="Times New Roman" w:hAnsi="Times New Roman"/>
          <w:sz w:val="28"/>
          <w:szCs w:val="28"/>
          <w:shd w:val="clear" w:color="auto" w:fill="FFFFFF"/>
          <w:lang w:val="uk-UA"/>
        </w:rPr>
      </w:pPr>
      <w:r w:rsidRPr="007B3484">
        <w:rPr>
          <w:rFonts w:ascii="Times New Roman" w:hAnsi="Times New Roman"/>
          <w:iCs/>
          <w:sz w:val="28"/>
          <w:szCs w:val="28"/>
          <w:shd w:val="clear" w:color="auto" w:fill="FFFFFF"/>
          <w:lang w:val="uk-UA"/>
        </w:rPr>
        <w:t xml:space="preserve">Означений вид насильства </w:t>
      </w:r>
      <w:r w:rsidRPr="007B3484">
        <w:rPr>
          <w:rFonts w:ascii="Times New Roman" w:hAnsi="Times New Roman"/>
          <w:sz w:val="28"/>
          <w:szCs w:val="28"/>
          <w:shd w:val="clear" w:color="auto" w:fill="FFFFFF"/>
          <w:lang w:val="uk-UA"/>
        </w:rPr>
        <w:t xml:space="preserve">розповсюджений в усіх країнах світу та не залежить від системи державного управління, релігії або економічного розвитку країни. А ось механізм протидії </w:t>
      </w:r>
      <w:proofErr w:type="spellStart"/>
      <w:r w:rsidRPr="007B3484">
        <w:rPr>
          <w:rFonts w:ascii="Times New Roman" w:hAnsi="Times New Roman"/>
          <w:sz w:val="28"/>
          <w:szCs w:val="28"/>
          <w:shd w:val="clear" w:color="auto" w:fill="FFFFFF"/>
          <w:lang w:val="uk-UA"/>
        </w:rPr>
        <w:t>гендерно</w:t>
      </w:r>
      <w:proofErr w:type="spellEnd"/>
      <w:r w:rsidRPr="007B3484">
        <w:rPr>
          <w:rFonts w:ascii="Times New Roman" w:hAnsi="Times New Roman"/>
          <w:sz w:val="28"/>
          <w:szCs w:val="28"/>
          <w:shd w:val="clear" w:color="auto" w:fill="FFFFFF"/>
          <w:lang w:val="uk-UA"/>
        </w:rPr>
        <w:t xml:space="preserve"> обумовленому насильству вже залежить від історичного досвіду, державного ладу, релігії та рівня валового внутрішнього продукту тієї чи іншої країни.</w:t>
      </w:r>
    </w:p>
    <w:p w:rsidR="007B3484" w:rsidRPr="007B3484" w:rsidRDefault="007B3484" w:rsidP="009B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iCs/>
          <w:sz w:val="28"/>
          <w:szCs w:val="28"/>
          <w:shd w:val="clear" w:color="auto" w:fill="FFFFFF"/>
          <w:lang w:val="uk-UA"/>
        </w:rPr>
      </w:pPr>
      <w:r w:rsidRPr="007B3484">
        <w:rPr>
          <w:rFonts w:ascii="Times New Roman" w:eastAsia="Times New Roman" w:hAnsi="Times New Roman"/>
          <w:sz w:val="28"/>
          <w:szCs w:val="28"/>
          <w:lang w:val="uk-UA" w:eastAsia="x-none"/>
        </w:rPr>
        <w:lastRenderedPageBreak/>
        <w:t xml:space="preserve">З урахуванням того, що </w:t>
      </w:r>
      <w:proofErr w:type="spellStart"/>
      <w:r w:rsidRPr="007B3484">
        <w:rPr>
          <w:rFonts w:ascii="Times New Roman" w:eastAsia="Times New Roman" w:hAnsi="Times New Roman"/>
          <w:sz w:val="28"/>
          <w:szCs w:val="28"/>
          <w:lang w:val="uk-UA" w:eastAsia="x-none"/>
        </w:rPr>
        <w:t>гендерно</w:t>
      </w:r>
      <w:proofErr w:type="spellEnd"/>
      <w:r w:rsidRPr="007B3484">
        <w:rPr>
          <w:rFonts w:ascii="Times New Roman" w:eastAsia="Times New Roman" w:hAnsi="Times New Roman"/>
          <w:sz w:val="28"/>
          <w:szCs w:val="28"/>
          <w:lang w:val="uk-UA" w:eastAsia="x-none"/>
        </w:rPr>
        <w:t xml:space="preserve"> обумовлене насильство має різні прояви (зґвалтування, сексуальні домагання на роботі, примушування до аборту, народження дитини, крайні ревнощі, заборона спілкування з іншими чоловіками, заборона працювати, торгівля жінками, насильство в сім’ї, яке включає фізичне, психологічне, сексуальне та економічне насильство)</w:t>
      </w:r>
      <w:r w:rsidRPr="007B3484">
        <w:rPr>
          <w:rFonts w:ascii="Times New Roman" w:hAnsi="Times New Roman"/>
          <w:iCs/>
          <w:sz w:val="28"/>
          <w:szCs w:val="28"/>
          <w:shd w:val="clear" w:color="auto" w:fill="FFFFFF"/>
          <w:lang w:val="uk-UA"/>
        </w:rPr>
        <w:t>, всі країни світу протидіють на законодавчому рівні такому насильству, з урахуванням потреб кожної держави на певному історичному етапі.</w:t>
      </w:r>
    </w:p>
    <w:p w:rsidR="007B3484" w:rsidRPr="007B3484" w:rsidRDefault="007B3484" w:rsidP="009B1EBB">
      <w:pPr>
        <w:shd w:val="clear" w:color="auto" w:fill="FFFFFF"/>
        <w:spacing w:after="0" w:line="360" w:lineRule="auto"/>
        <w:ind w:firstLine="708"/>
        <w:jc w:val="both"/>
        <w:rPr>
          <w:rFonts w:ascii="Times New Roman" w:hAnsi="Times New Roman"/>
          <w:iCs/>
          <w:sz w:val="28"/>
          <w:szCs w:val="28"/>
          <w:shd w:val="clear" w:color="auto" w:fill="FFFFFF"/>
          <w:lang w:val="uk-UA"/>
        </w:rPr>
      </w:pPr>
      <w:r w:rsidRPr="007B3484">
        <w:rPr>
          <w:rFonts w:ascii="Times New Roman" w:hAnsi="Times New Roman"/>
          <w:iCs/>
          <w:sz w:val="28"/>
          <w:szCs w:val="28"/>
          <w:shd w:val="clear" w:color="auto" w:fill="FFFFFF"/>
          <w:lang w:val="uk-UA"/>
        </w:rPr>
        <w:t xml:space="preserve">Так, Спеціальний Органічний закон № 1/2004 «Про комплексні заходи захисту від гендерного насильства </w:t>
      </w:r>
      <w:r w:rsidRPr="007B3484">
        <w:rPr>
          <w:rFonts w:ascii="Times New Roman" w:hAnsi="Times New Roman"/>
          <w:b/>
          <w:iCs/>
          <w:sz w:val="28"/>
          <w:szCs w:val="28"/>
          <w:shd w:val="clear" w:color="auto" w:fill="FFFFFF"/>
          <w:lang w:val="uk-UA"/>
        </w:rPr>
        <w:t>в Іспанії</w:t>
      </w:r>
      <w:r w:rsidRPr="007B3484">
        <w:rPr>
          <w:rFonts w:ascii="Times New Roman" w:hAnsi="Times New Roman"/>
          <w:iCs/>
          <w:sz w:val="28"/>
          <w:szCs w:val="28"/>
          <w:shd w:val="clear" w:color="auto" w:fill="FFFFFF"/>
          <w:lang w:val="uk-UA"/>
        </w:rPr>
        <w:t xml:space="preserve">» був прийнятий 28 грудня 2004 року. Вказаний закон набрав чинності тільки у 2005 році, однак в іспанському законодавстві вперше було акцентовано саме на </w:t>
      </w:r>
      <w:proofErr w:type="spellStart"/>
      <w:r w:rsidRPr="007B3484">
        <w:rPr>
          <w:rFonts w:ascii="Times New Roman" w:hAnsi="Times New Roman"/>
          <w:iCs/>
          <w:sz w:val="28"/>
          <w:szCs w:val="28"/>
          <w:shd w:val="clear" w:color="auto" w:fill="FFFFFF"/>
          <w:lang w:val="uk-UA"/>
        </w:rPr>
        <w:t>гендерно</w:t>
      </w:r>
      <w:proofErr w:type="spellEnd"/>
      <w:r w:rsidRPr="007B3484">
        <w:rPr>
          <w:rFonts w:ascii="Times New Roman" w:hAnsi="Times New Roman"/>
          <w:iCs/>
          <w:sz w:val="28"/>
          <w:szCs w:val="28"/>
          <w:shd w:val="clear" w:color="auto" w:fill="FFFFFF"/>
          <w:lang w:val="uk-UA"/>
        </w:rPr>
        <w:t xml:space="preserve"> обумовленому насильстві, на відміну від попереднього підходу ототожнювати </w:t>
      </w:r>
      <w:proofErr w:type="spellStart"/>
      <w:r w:rsidRPr="007B3484">
        <w:rPr>
          <w:rFonts w:ascii="Times New Roman" w:hAnsi="Times New Roman"/>
          <w:iCs/>
          <w:sz w:val="28"/>
          <w:szCs w:val="28"/>
          <w:shd w:val="clear" w:color="auto" w:fill="FFFFFF"/>
          <w:lang w:val="uk-UA"/>
        </w:rPr>
        <w:t>гендерно</w:t>
      </w:r>
      <w:proofErr w:type="spellEnd"/>
      <w:r w:rsidRPr="007B3484">
        <w:rPr>
          <w:rFonts w:ascii="Times New Roman" w:hAnsi="Times New Roman"/>
          <w:iCs/>
          <w:sz w:val="28"/>
          <w:szCs w:val="28"/>
          <w:shd w:val="clear" w:color="auto" w:fill="FFFFFF"/>
          <w:lang w:val="uk-UA"/>
        </w:rPr>
        <w:t xml:space="preserve"> обумовлене насильство з домашнім насиллям. У зазначеному законі </w:t>
      </w:r>
      <w:proofErr w:type="spellStart"/>
      <w:r w:rsidRPr="007B3484">
        <w:rPr>
          <w:rFonts w:ascii="Times New Roman" w:hAnsi="Times New Roman"/>
          <w:iCs/>
          <w:sz w:val="28"/>
          <w:szCs w:val="28"/>
          <w:shd w:val="clear" w:color="auto" w:fill="FFFFFF"/>
          <w:lang w:val="uk-UA"/>
        </w:rPr>
        <w:t>гендерно</w:t>
      </w:r>
      <w:proofErr w:type="spellEnd"/>
      <w:r w:rsidRPr="007B3484">
        <w:rPr>
          <w:rFonts w:ascii="Times New Roman" w:hAnsi="Times New Roman"/>
          <w:iCs/>
          <w:sz w:val="28"/>
          <w:szCs w:val="28"/>
          <w:shd w:val="clear" w:color="auto" w:fill="FFFFFF"/>
          <w:lang w:val="uk-UA"/>
        </w:rPr>
        <w:t xml:space="preserve"> обумовлене насильство визначається як прояв дискримінації, нерівності та владних відносин чоловіків і жінок.</w:t>
      </w:r>
    </w:p>
    <w:p w:rsidR="007B3484" w:rsidRPr="007B3484" w:rsidRDefault="007B3484" w:rsidP="009B1EBB">
      <w:pPr>
        <w:shd w:val="clear" w:color="auto" w:fill="FFFFFF"/>
        <w:spacing w:after="0" w:line="360" w:lineRule="auto"/>
        <w:ind w:firstLine="708"/>
        <w:jc w:val="both"/>
        <w:rPr>
          <w:rFonts w:ascii="Times New Roman" w:hAnsi="Times New Roman"/>
          <w:iCs/>
          <w:sz w:val="28"/>
          <w:szCs w:val="28"/>
          <w:shd w:val="clear" w:color="auto" w:fill="FFFFFF"/>
          <w:lang w:val="uk-UA"/>
        </w:rPr>
      </w:pPr>
      <w:r w:rsidRPr="007B3484">
        <w:rPr>
          <w:rFonts w:ascii="Times New Roman" w:hAnsi="Times New Roman"/>
          <w:iCs/>
          <w:sz w:val="28"/>
          <w:szCs w:val="28"/>
          <w:shd w:val="clear" w:color="auto" w:fill="FFFFFF"/>
          <w:lang w:val="uk-UA"/>
        </w:rPr>
        <w:t xml:space="preserve">Найцікавіше, що цей закон містить заходи щодо чутливості, захисту та виявлення </w:t>
      </w:r>
      <w:proofErr w:type="spellStart"/>
      <w:r w:rsidRPr="007B3484">
        <w:rPr>
          <w:rFonts w:ascii="Times New Roman" w:hAnsi="Times New Roman"/>
          <w:iCs/>
          <w:sz w:val="28"/>
          <w:szCs w:val="28"/>
          <w:shd w:val="clear" w:color="auto" w:fill="FFFFFF"/>
          <w:lang w:val="uk-UA"/>
        </w:rPr>
        <w:t>гендерно</w:t>
      </w:r>
      <w:proofErr w:type="spellEnd"/>
      <w:r w:rsidRPr="007B3484">
        <w:rPr>
          <w:rFonts w:ascii="Times New Roman" w:hAnsi="Times New Roman"/>
          <w:iCs/>
          <w:sz w:val="28"/>
          <w:szCs w:val="28"/>
          <w:shd w:val="clear" w:color="auto" w:fill="FFFFFF"/>
          <w:lang w:val="uk-UA"/>
        </w:rPr>
        <w:t xml:space="preserve"> обумовленого насильства. Особливістю закону є те, що майже кожну сферу життєдіяльності людини охоплено з метою визначення механізму протидії </w:t>
      </w:r>
      <w:proofErr w:type="spellStart"/>
      <w:r w:rsidRPr="007B3484">
        <w:rPr>
          <w:rFonts w:ascii="Times New Roman" w:hAnsi="Times New Roman"/>
          <w:iCs/>
          <w:sz w:val="28"/>
          <w:szCs w:val="28"/>
          <w:shd w:val="clear" w:color="auto" w:fill="FFFFFF"/>
          <w:lang w:val="uk-UA"/>
        </w:rPr>
        <w:t>гендерно</w:t>
      </w:r>
      <w:proofErr w:type="spellEnd"/>
      <w:r w:rsidRPr="007B3484">
        <w:rPr>
          <w:rFonts w:ascii="Times New Roman" w:hAnsi="Times New Roman"/>
          <w:iCs/>
          <w:sz w:val="28"/>
          <w:szCs w:val="28"/>
          <w:shd w:val="clear" w:color="auto" w:fill="FFFFFF"/>
          <w:lang w:val="uk-UA"/>
        </w:rPr>
        <w:t xml:space="preserve"> обумовленому насильству. Визначено повноваження різних інституцій в частині протидії та підтримки жертв, починаючи з системи закладів охорони здоров’я та закінчуючи суддівською гілкою влади. Протидія </w:t>
      </w:r>
      <w:proofErr w:type="spellStart"/>
      <w:r w:rsidRPr="007B3484">
        <w:rPr>
          <w:rFonts w:ascii="Times New Roman" w:hAnsi="Times New Roman"/>
          <w:iCs/>
          <w:sz w:val="28"/>
          <w:szCs w:val="28"/>
          <w:shd w:val="clear" w:color="auto" w:fill="FFFFFF"/>
          <w:lang w:val="uk-UA"/>
        </w:rPr>
        <w:t>гендерно</w:t>
      </w:r>
      <w:proofErr w:type="spellEnd"/>
      <w:r w:rsidRPr="007B3484">
        <w:rPr>
          <w:rFonts w:ascii="Times New Roman" w:hAnsi="Times New Roman"/>
          <w:iCs/>
          <w:sz w:val="28"/>
          <w:szCs w:val="28"/>
          <w:shd w:val="clear" w:color="auto" w:fill="FFFFFF"/>
          <w:lang w:val="uk-UA"/>
        </w:rPr>
        <w:t xml:space="preserve"> обумовленому насильству в Іспанії починається із запровадження певних навчальних курсів у спеціалізованих навчальних закладах: із самого раннього віку дитина розуміє, що саме є </w:t>
      </w:r>
      <w:proofErr w:type="spellStart"/>
      <w:r w:rsidRPr="007B3484">
        <w:rPr>
          <w:rFonts w:ascii="Times New Roman" w:hAnsi="Times New Roman"/>
          <w:iCs/>
          <w:sz w:val="28"/>
          <w:szCs w:val="28"/>
          <w:shd w:val="clear" w:color="auto" w:fill="FFFFFF"/>
          <w:lang w:val="uk-UA"/>
        </w:rPr>
        <w:t>гендерно</w:t>
      </w:r>
      <w:proofErr w:type="spellEnd"/>
      <w:r w:rsidRPr="007B3484">
        <w:rPr>
          <w:rFonts w:ascii="Times New Roman" w:hAnsi="Times New Roman"/>
          <w:iCs/>
          <w:sz w:val="28"/>
          <w:szCs w:val="28"/>
          <w:shd w:val="clear" w:color="auto" w:fill="FFFFFF"/>
          <w:lang w:val="uk-UA"/>
        </w:rPr>
        <w:t xml:space="preserve"> обумовленим насильством і як йому протистояти. На рівні закладів охорони здоров’я визначено певний інструментарій, завдяки якому персонал знає, як треба вчиняти при виявлені </w:t>
      </w:r>
      <w:proofErr w:type="spellStart"/>
      <w:r w:rsidRPr="007B3484">
        <w:rPr>
          <w:rFonts w:ascii="Times New Roman" w:hAnsi="Times New Roman"/>
          <w:iCs/>
          <w:sz w:val="28"/>
          <w:szCs w:val="28"/>
          <w:shd w:val="clear" w:color="auto" w:fill="FFFFFF"/>
          <w:lang w:val="uk-UA"/>
        </w:rPr>
        <w:t>гендерно</w:t>
      </w:r>
      <w:proofErr w:type="spellEnd"/>
      <w:r w:rsidRPr="007B3484">
        <w:rPr>
          <w:rFonts w:ascii="Times New Roman" w:hAnsi="Times New Roman"/>
          <w:iCs/>
          <w:sz w:val="28"/>
          <w:szCs w:val="28"/>
          <w:shd w:val="clear" w:color="auto" w:fill="FFFFFF"/>
          <w:lang w:val="uk-UA"/>
        </w:rPr>
        <w:t xml:space="preserve"> обумовленого насильства або при наданні допомоги жертвам останнього.</w:t>
      </w:r>
    </w:p>
    <w:p w:rsidR="007B3484" w:rsidRPr="007B3484" w:rsidRDefault="007B3484" w:rsidP="009B1EBB">
      <w:pPr>
        <w:shd w:val="clear" w:color="auto" w:fill="FFFFFF"/>
        <w:spacing w:after="0" w:line="360" w:lineRule="auto"/>
        <w:ind w:firstLine="708"/>
        <w:jc w:val="both"/>
        <w:rPr>
          <w:rFonts w:ascii="Times New Roman" w:hAnsi="Times New Roman"/>
          <w:iCs/>
          <w:sz w:val="28"/>
          <w:szCs w:val="28"/>
          <w:shd w:val="clear" w:color="auto" w:fill="FFFFFF"/>
          <w:lang w:val="uk-UA"/>
        </w:rPr>
      </w:pPr>
      <w:r w:rsidRPr="007B3484">
        <w:rPr>
          <w:rFonts w:ascii="Times New Roman" w:hAnsi="Times New Roman"/>
          <w:iCs/>
          <w:sz w:val="28"/>
          <w:szCs w:val="28"/>
          <w:shd w:val="clear" w:color="auto" w:fill="FFFFFF"/>
          <w:lang w:val="uk-UA"/>
        </w:rPr>
        <w:t>У 2010 р.</w:t>
      </w:r>
      <w:r w:rsidRPr="007B3484">
        <w:rPr>
          <w:rFonts w:ascii="Times New Roman" w:hAnsi="Times New Roman"/>
          <w:b/>
          <w:iCs/>
          <w:sz w:val="28"/>
          <w:szCs w:val="28"/>
          <w:shd w:val="clear" w:color="auto" w:fill="FFFFFF"/>
          <w:lang w:val="uk-UA"/>
        </w:rPr>
        <w:t xml:space="preserve"> Італія</w:t>
      </w:r>
      <w:r w:rsidRPr="007B3484">
        <w:rPr>
          <w:rFonts w:ascii="Times New Roman" w:hAnsi="Times New Roman"/>
          <w:iCs/>
          <w:sz w:val="28"/>
          <w:szCs w:val="28"/>
          <w:shd w:val="clear" w:color="auto" w:fill="FFFFFF"/>
          <w:lang w:val="uk-UA"/>
        </w:rPr>
        <w:t xml:space="preserve"> ухвалила свій перший Національний план дій щодо гендерного насильства і переслідування. До 2010 р. плани дій спрямовані на </w:t>
      </w:r>
      <w:r w:rsidRPr="007B3484">
        <w:rPr>
          <w:rFonts w:ascii="Times New Roman" w:hAnsi="Times New Roman"/>
          <w:iCs/>
          <w:sz w:val="28"/>
          <w:szCs w:val="28"/>
          <w:shd w:val="clear" w:color="auto" w:fill="FFFFFF"/>
          <w:lang w:val="uk-UA"/>
        </w:rPr>
        <w:lastRenderedPageBreak/>
        <w:t>конкретні форми насильства в деяких регіонах. Найбільш конкретним законодавством щодо захисту жінок від насильства за ознакою статі є Закон від 05 квітня 2001 р. № 154 «Про заходи проти насильства в сім</w:t>
      </w:r>
      <w:r w:rsidRPr="007B3484">
        <w:rPr>
          <w:rFonts w:ascii="Times New Roman" w:hAnsi="Times New Roman"/>
          <w:sz w:val="28"/>
          <w:szCs w:val="28"/>
          <w:lang w:val="uk-UA"/>
        </w:rPr>
        <w:t>’</w:t>
      </w:r>
      <w:r w:rsidRPr="007B3484">
        <w:rPr>
          <w:rFonts w:ascii="Times New Roman" w:hAnsi="Times New Roman"/>
          <w:iCs/>
          <w:sz w:val="28"/>
          <w:szCs w:val="28"/>
          <w:shd w:val="clear" w:color="auto" w:fill="FFFFFF"/>
          <w:lang w:val="uk-UA"/>
        </w:rPr>
        <w:t>ї». Цей закон в основному встановлює захисні заходи для потерпілих як у цивільних, так і у кримінальних правопорушеннях. Зокрема, закон запроваджує заходи для відокремлення підозрюваного від жертви.</w:t>
      </w:r>
    </w:p>
    <w:p w:rsidR="007B3484" w:rsidRPr="007B3484" w:rsidRDefault="007B3484" w:rsidP="009B1EBB">
      <w:pPr>
        <w:shd w:val="clear" w:color="auto" w:fill="FFFFFF"/>
        <w:spacing w:after="0" w:line="360" w:lineRule="auto"/>
        <w:ind w:firstLine="708"/>
        <w:jc w:val="both"/>
        <w:rPr>
          <w:rFonts w:ascii="Times New Roman" w:hAnsi="Times New Roman"/>
          <w:iCs/>
          <w:sz w:val="28"/>
          <w:szCs w:val="28"/>
          <w:shd w:val="clear" w:color="auto" w:fill="FFFFFF"/>
          <w:lang w:val="uk-UA"/>
        </w:rPr>
      </w:pPr>
      <w:r w:rsidRPr="007B3484">
        <w:rPr>
          <w:rFonts w:ascii="Times New Roman" w:hAnsi="Times New Roman"/>
          <w:iCs/>
          <w:sz w:val="28"/>
          <w:szCs w:val="28"/>
          <w:shd w:val="clear" w:color="auto" w:fill="FFFFFF"/>
          <w:lang w:val="uk-UA"/>
        </w:rPr>
        <w:t xml:space="preserve">Наступна країна, досвід якої з вказаного питання слід дослідити, – це </w:t>
      </w:r>
      <w:r w:rsidRPr="007B3484">
        <w:rPr>
          <w:rFonts w:ascii="Times New Roman" w:hAnsi="Times New Roman"/>
          <w:b/>
          <w:iCs/>
          <w:sz w:val="28"/>
          <w:szCs w:val="28"/>
          <w:shd w:val="clear" w:color="auto" w:fill="FFFFFF"/>
          <w:lang w:val="uk-UA"/>
        </w:rPr>
        <w:t>США.</w:t>
      </w:r>
      <w:r w:rsidRPr="007B3484">
        <w:rPr>
          <w:rFonts w:ascii="Times New Roman" w:hAnsi="Times New Roman"/>
          <w:iCs/>
          <w:sz w:val="28"/>
          <w:szCs w:val="28"/>
          <w:shd w:val="clear" w:color="auto" w:fill="FFFFFF"/>
          <w:lang w:val="uk-UA"/>
        </w:rPr>
        <w:t xml:space="preserve"> Реагування на гендерне насильство та запобігання останньому – наріжний камінь уряду США у прагненні до розвитку прав людини, сприяння гендерній рівності та розширення прав і можливостей жінок і дівчат. Масштаб насильства за ознакою статі є величезним, сфера охоплення – великою, і наслідки для окремих осіб, сімей, громад та країни є руйнівними. Таке насильство значно ускладнює здатність всіх людей до повної участі в їх сім</w:t>
      </w:r>
      <w:r w:rsidRPr="007B3484">
        <w:rPr>
          <w:rFonts w:ascii="Times New Roman" w:hAnsi="Times New Roman"/>
          <w:sz w:val="28"/>
          <w:szCs w:val="28"/>
          <w:lang w:val="uk-UA"/>
        </w:rPr>
        <w:t>’</w:t>
      </w:r>
      <w:r w:rsidRPr="007B3484">
        <w:rPr>
          <w:rFonts w:ascii="Times New Roman" w:hAnsi="Times New Roman"/>
          <w:iCs/>
          <w:sz w:val="28"/>
          <w:szCs w:val="28"/>
          <w:shd w:val="clear" w:color="auto" w:fill="FFFFFF"/>
          <w:lang w:val="uk-UA"/>
        </w:rPr>
        <w:t>ях та громадах, і є загрозливим для суспільства, яке має процвітати – економічно, політично та соціально.</w:t>
      </w:r>
    </w:p>
    <w:p w:rsidR="007B3484" w:rsidRPr="007B3484" w:rsidRDefault="007B3484" w:rsidP="009B1EBB">
      <w:pPr>
        <w:shd w:val="clear" w:color="auto" w:fill="FFFFFF"/>
        <w:spacing w:after="0" w:line="360" w:lineRule="auto"/>
        <w:ind w:firstLine="708"/>
        <w:jc w:val="both"/>
        <w:rPr>
          <w:rFonts w:ascii="Times New Roman" w:hAnsi="Times New Roman"/>
          <w:iCs/>
          <w:sz w:val="28"/>
          <w:szCs w:val="28"/>
          <w:shd w:val="clear" w:color="auto" w:fill="FFFFFF"/>
          <w:lang w:val="uk-UA"/>
        </w:rPr>
      </w:pPr>
      <w:r w:rsidRPr="007B3484">
        <w:rPr>
          <w:rFonts w:ascii="Times New Roman" w:hAnsi="Times New Roman"/>
          <w:iCs/>
          <w:sz w:val="28"/>
          <w:szCs w:val="28"/>
          <w:shd w:val="clear" w:color="auto" w:fill="FFFFFF"/>
          <w:lang w:val="uk-UA"/>
        </w:rPr>
        <w:t xml:space="preserve">У 2012 р. Президентом Сполучених Штатів Америки було підписано розпорядження № 13623 «Запобігання та реагування на насильство проти жінок та дівчат у всьому світі». Ця Стратегія визначає гендерне насильство як насильство, яке спрямоване на людину на основі його або її біологічної статі, гендерної ідентичності або прихильності до соціально визначених норм </w:t>
      </w:r>
      <w:proofErr w:type="spellStart"/>
      <w:r w:rsidRPr="007B3484">
        <w:rPr>
          <w:rFonts w:ascii="Times New Roman" w:hAnsi="Times New Roman"/>
          <w:iCs/>
          <w:sz w:val="28"/>
          <w:szCs w:val="28"/>
          <w:shd w:val="clear" w:color="auto" w:fill="FFFFFF"/>
          <w:lang w:val="uk-UA"/>
        </w:rPr>
        <w:t>маскулінності</w:t>
      </w:r>
      <w:proofErr w:type="spellEnd"/>
      <w:r w:rsidRPr="007B3484">
        <w:rPr>
          <w:rFonts w:ascii="Times New Roman" w:hAnsi="Times New Roman"/>
          <w:iCs/>
          <w:sz w:val="28"/>
          <w:szCs w:val="28"/>
          <w:shd w:val="clear" w:color="auto" w:fill="FFFFFF"/>
          <w:lang w:val="uk-UA"/>
        </w:rPr>
        <w:t xml:space="preserve"> та жіночності. Гендерне насильство включає в себе фізичне, сексуальне та психологічне насильство; загрози; примус; довільне позбавлення волі; економічну </w:t>
      </w:r>
      <w:proofErr w:type="spellStart"/>
      <w:r w:rsidRPr="007B3484">
        <w:rPr>
          <w:rFonts w:ascii="Times New Roman" w:hAnsi="Times New Roman"/>
          <w:iCs/>
          <w:sz w:val="28"/>
          <w:szCs w:val="28"/>
          <w:shd w:val="clear" w:color="auto" w:fill="FFFFFF"/>
          <w:lang w:val="uk-UA"/>
        </w:rPr>
        <w:t>депривацію</w:t>
      </w:r>
      <w:proofErr w:type="spellEnd"/>
      <w:r w:rsidRPr="007B3484">
        <w:rPr>
          <w:rFonts w:ascii="Times New Roman" w:hAnsi="Times New Roman"/>
          <w:iCs/>
          <w:sz w:val="28"/>
          <w:szCs w:val="28"/>
          <w:shd w:val="clear" w:color="auto" w:fill="FFFFFF"/>
          <w:lang w:val="uk-UA"/>
        </w:rPr>
        <w:t xml:space="preserve">, незалежно від того, відбувається воно у державному чи приватному житті. </w:t>
      </w:r>
    </w:p>
    <w:p w:rsidR="007B3484" w:rsidRPr="007B3484" w:rsidRDefault="007B3484" w:rsidP="009B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iCs/>
          <w:sz w:val="28"/>
          <w:szCs w:val="28"/>
          <w:shd w:val="clear" w:color="auto" w:fill="FFFFFF"/>
          <w:lang w:val="uk-UA"/>
        </w:rPr>
      </w:pPr>
      <w:r w:rsidRPr="007B3484">
        <w:rPr>
          <w:rFonts w:ascii="Times New Roman" w:hAnsi="Times New Roman"/>
          <w:iCs/>
          <w:sz w:val="28"/>
          <w:szCs w:val="28"/>
          <w:shd w:val="clear" w:color="auto" w:fill="FFFFFF"/>
          <w:lang w:val="uk-UA"/>
        </w:rPr>
        <w:t xml:space="preserve">Стратегія протидії </w:t>
      </w:r>
      <w:proofErr w:type="spellStart"/>
      <w:r w:rsidRPr="007B3484">
        <w:rPr>
          <w:rFonts w:ascii="Times New Roman" w:hAnsi="Times New Roman"/>
          <w:iCs/>
          <w:sz w:val="28"/>
          <w:szCs w:val="28"/>
          <w:shd w:val="clear" w:color="auto" w:fill="FFFFFF"/>
          <w:lang w:val="uk-UA"/>
        </w:rPr>
        <w:t>гендерно</w:t>
      </w:r>
      <w:proofErr w:type="spellEnd"/>
      <w:r w:rsidRPr="007B3484">
        <w:rPr>
          <w:rFonts w:ascii="Times New Roman" w:hAnsi="Times New Roman"/>
          <w:iCs/>
          <w:sz w:val="28"/>
          <w:szCs w:val="28"/>
          <w:shd w:val="clear" w:color="auto" w:fill="FFFFFF"/>
          <w:lang w:val="uk-UA"/>
        </w:rPr>
        <w:t xml:space="preserve"> обумовленому насильству у Сполучених Штатах Америки побудована наступним чином: 1)</w:t>
      </w:r>
      <w:proofErr w:type="spellStart"/>
      <w:r w:rsidRPr="007B3484">
        <w:rPr>
          <w:rFonts w:ascii="Times New Roman" w:hAnsi="Times New Roman"/>
          <w:iCs/>
          <w:sz w:val="28"/>
          <w:szCs w:val="28"/>
          <w:shd w:val="clear" w:color="auto" w:fill="FFFFFF"/>
          <w:lang w:val="uk-UA"/>
        </w:rPr>
        <w:t> інституціоналізаці</w:t>
      </w:r>
      <w:proofErr w:type="spellEnd"/>
      <w:r w:rsidRPr="007B3484">
        <w:rPr>
          <w:rFonts w:ascii="Times New Roman" w:hAnsi="Times New Roman"/>
          <w:iCs/>
          <w:sz w:val="28"/>
          <w:szCs w:val="28"/>
          <w:shd w:val="clear" w:color="auto" w:fill="FFFFFF"/>
          <w:lang w:val="uk-UA"/>
        </w:rPr>
        <w:t xml:space="preserve">я координації гендерного насильства (профілактика та реагування уряду США, Департаментів та агенцій, інших зацікавлених сторін). Вона включає в себе: міжвідомчу і внутрішньо-агентську координацію, забезпечення співпраці з іншими зацікавленими сторонами (консультації з громадянським </w:t>
      </w:r>
      <w:r w:rsidRPr="007B3484">
        <w:rPr>
          <w:rFonts w:ascii="Times New Roman" w:hAnsi="Times New Roman"/>
          <w:iCs/>
          <w:sz w:val="28"/>
          <w:szCs w:val="28"/>
          <w:shd w:val="clear" w:color="auto" w:fill="FFFFFF"/>
          <w:lang w:val="uk-UA"/>
        </w:rPr>
        <w:lastRenderedPageBreak/>
        <w:t>суспільством, міжгалузеве співробітництво, державно-приватне партнерство); 2) інтеграція заходів щодо запобігання гендерному насильству та реагування на роботу уряду США. У свою чергу, остання поділяється на такі кроки: інтеграція програм щодо запобігання гендерному насильству в існуючі програми та політику департаментів й агенцій; використання наявних платформ для посилення зусиль з метою запобігання та реагування на насильство, пов</w:t>
      </w:r>
      <w:r w:rsidRPr="007B3484">
        <w:rPr>
          <w:rFonts w:ascii="Times New Roman" w:eastAsia="Times New Roman" w:hAnsi="Times New Roman"/>
          <w:sz w:val="28"/>
          <w:szCs w:val="28"/>
          <w:lang w:val="uk-UA" w:eastAsia="x-none"/>
        </w:rPr>
        <w:t>’</w:t>
      </w:r>
      <w:r w:rsidRPr="007B3484">
        <w:rPr>
          <w:rFonts w:ascii="Times New Roman" w:hAnsi="Times New Roman"/>
          <w:iCs/>
          <w:sz w:val="28"/>
          <w:szCs w:val="28"/>
          <w:shd w:val="clear" w:color="auto" w:fill="FFFFFF"/>
          <w:lang w:val="uk-UA"/>
        </w:rPr>
        <w:t>язане з гендерними ознаками; 3) збір, аналіз та використання даних і досліджень для посилення гендерної діяльності з попередження та реагування насильства, що включає: сприяння етичному та безпечному дослідженню, збору даних та на основі доказів проведення аналізів, на предмет різних форм насильства за ознакою статі й запобігання та реагування на державному та місцевому рівнях (вдосконалення дослідницьких робіт у цьому напрямку, партнерство із зацікавленими сторонами, дослідження впливу гендерного насильства на зовнішню політику та допомогу, розвиток потенційної системи збору даних та обстежень, вдосконалення та гармонізація методів дослідження і збирання даних, етичні міркування); визначення пріоритетів моніторингу та оцінки державних програм США (система моніторингу та оцінки, оцінка доказів того, як найкраще реалізувати існуючі стратегії); визначення та обмін перспективними практиками, уроками та дослідженнями в межах міжвідомчих і зовнішніх партнерів (вітчизняна перспективна практика та експертиза, перспективні практики й експертизи із різних галузей); 4)</w:t>
      </w:r>
      <w:r w:rsidRPr="007B3484">
        <w:rPr>
          <w:rFonts w:ascii="Times New Roman" w:eastAsia="Times New Roman" w:hAnsi="Times New Roman"/>
          <w:sz w:val="28"/>
          <w:szCs w:val="20"/>
          <w:lang w:val="uk-UA" w:eastAsia="x-none"/>
        </w:rPr>
        <w:t> </w:t>
      </w:r>
      <w:r w:rsidRPr="007B3484">
        <w:rPr>
          <w:rFonts w:ascii="Times New Roman" w:hAnsi="Times New Roman"/>
          <w:iCs/>
          <w:sz w:val="28"/>
          <w:szCs w:val="28"/>
          <w:shd w:val="clear" w:color="auto" w:fill="FFFFFF"/>
          <w:lang w:val="uk-UA"/>
        </w:rPr>
        <w:t>започаткування урядових програм із запобігання насильству в уряді США. Повторне або масштабне успішне започаткування, координація підходів, на яких фокусується країна</w:t>
      </w:r>
      <w:r w:rsidRPr="007B3484">
        <w:rPr>
          <w:rFonts w:ascii="Times New Roman" w:eastAsia="Times New Roman" w:hAnsi="Times New Roman"/>
          <w:iCs/>
          <w:sz w:val="28"/>
          <w:szCs w:val="28"/>
          <w:shd w:val="clear" w:color="auto" w:fill="FFFFFF"/>
          <w:lang w:val="uk-UA" w:eastAsia="x-none"/>
        </w:rPr>
        <w:t>.</w:t>
      </w:r>
    </w:p>
    <w:p w:rsidR="007B3484" w:rsidRPr="007B3484" w:rsidRDefault="007B3484" w:rsidP="009B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iCs/>
          <w:sz w:val="28"/>
          <w:szCs w:val="28"/>
          <w:shd w:val="clear" w:color="auto" w:fill="FFFFFF"/>
          <w:lang w:val="uk-UA"/>
        </w:rPr>
      </w:pPr>
      <w:r w:rsidRPr="007B3484">
        <w:rPr>
          <w:rFonts w:ascii="Times New Roman" w:hAnsi="Times New Roman"/>
          <w:iCs/>
          <w:sz w:val="28"/>
          <w:szCs w:val="28"/>
          <w:shd w:val="clear" w:color="auto" w:fill="FFFFFF"/>
          <w:lang w:val="uk-UA"/>
        </w:rPr>
        <w:t xml:space="preserve">Ілюструючи досвід </w:t>
      </w:r>
      <w:r w:rsidRPr="007B3484">
        <w:rPr>
          <w:rFonts w:ascii="Times New Roman" w:hAnsi="Times New Roman"/>
          <w:b/>
          <w:iCs/>
          <w:sz w:val="28"/>
          <w:szCs w:val="28"/>
          <w:shd w:val="clear" w:color="auto" w:fill="FFFFFF"/>
          <w:lang w:val="uk-UA"/>
        </w:rPr>
        <w:t>Німеччини</w:t>
      </w:r>
      <w:r w:rsidRPr="007B3484">
        <w:rPr>
          <w:rFonts w:ascii="Times New Roman" w:hAnsi="Times New Roman"/>
          <w:iCs/>
          <w:sz w:val="28"/>
          <w:szCs w:val="28"/>
          <w:shd w:val="clear" w:color="auto" w:fill="FFFFFF"/>
          <w:lang w:val="uk-UA"/>
        </w:rPr>
        <w:t>, слід звернути увагу на Закон про громадянський захист від насильницьких актів та судових переслідувань (</w:t>
      </w:r>
      <w:proofErr w:type="spellStart"/>
      <w:r w:rsidRPr="007B3484">
        <w:rPr>
          <w:rFonts w:ascii="Times New Roman" w:hAnsi="Times New Roman"/>
          <w:iCs/>
          <w:sz w:val="28"/>
          <w:szCs w:val="28"/>
          <w:shd w:val="clear" w:color="auto" w:fill="FFFFFF"/>
          <w:lang w:val="uk-UA"/>
        </w:rPr>
        <w:t>Gewaltschutzgesetz</w:t>
      </w:r>
      <w:proofErr w:type="spellEnd"/>
      <w:r w:rsidRPr="007B3484">
        <w:rPr>
          <w:rFonts w:ascii="Times New Roman" w:hAnsi="Times New Roman"/>
          <w:iCs/>
          <w:sz w:val="28"/>
          <w:szCs w:val="28"/>
          <w:shd w:val="clear" w:color="auto" w:fill="FFFFFF"/>
          <w:lang w:val="uk-UA"/>
        </w:rPr>
        <w:t xml:space="preserve"> – </w:t>
      </w:r>
      <w:proofErr w:type="spellStart"/>
      <w:r w:rsidRPr="007B3484">
        <w:rPr>
          <w:rFonts w:ascii="Times New Roman" w:hAnsi="Times New Roman"/>
          <w:iCs/>
          <w:sz w:val="28"/>
          <w:szCs w:val="28"/>
          <w:shd w:val="clear" w:color="auto" w:fill="FFFFFF"/>
          <w:lang w:val="uk-UA"/>
        </w:rPr>
        <w:t>GewSchG</w:t>
      </w:r>
      <w:proofErr w:type="spellEnd"/>
      <w:r w:rsidRPr="007B3484">
        <w:rPr>
          <w:rFonts w:ascii="Times New Roman" w:hAnsi="Times New Roman"/>
          <w:iCs/>
          <w:sz w:val="28"/>
          <w:szCs w:val="28"/>
          <w:shd w:val="clear" w:color="auto" w:fill="FFFFFF"/>
          <w:lang w:val="uk-UA"/>
        </w:rPr>
        <w:t>). Захисні ордер</w:t>
      </w:r>
      <w:r w:rsidR="00D85EB4">
        <w:rPr>
          <w:rFonts w:ascii="Times New Roman" w:hAnsi="Times New Roman"/>
          <w:iCs/>
          <w:sz w:val="28"/>
          <w:szCs w:val="28"/>
          <w:shd w:val="clear" w:color="auto" w:fill="FFFFFF"/>
          <w:lang w:val="uk-UA"/>
        </w:rPr>
        <w:t>и</w:t>
      </w:r>
      <w:r w:rsidRPr="007B3484">
        <w:rPr>
          <w:rFonts w:ascii="Times New Roman" w:hAnsi="Times New Roman"/>
          <w:iCs/>
          <w:sz w:val="28"/>
          <w:szCs w:val="28"/>
          <w:shd w:val="clear" w:color="auto" w:fill="FFFFFF"/>
          <w:lang w:val="uk-UA"/>
        </w:rPr>
        <w:t xml:space="preserve"> не вимагають або не залежать від будь-яких зазначених відносин, але можуть бути застосовані для забезпечення безпеки від будь-якої особи, яка навмисно, злочинно </w:t>
      </w:r>
      <w:r w:rsidRPr="007B3484">
        <w:rPr>
          <w:rFonts w:ascii="Times New Roman" w:hAnsi="Times New Roman"/>
          <w:iCs/>
          <w:sz w:val="28"/>
          <w:szCs w:val="28"/>
          <w:shd w:val="clear" w:color="auto" w:fill="FFFFFF"/>
          <w:lang w:val="uk-UA"/>
        </w:rPr>
        <w:lastRenderedPageBreak/>
        <w:t>пошкодила тіло, здоров</w:t>
      </w:r>
      <w:r w:rsidRPr="007B3484">
        <w:rPr>
          <w:rFonts w:ascii="Times New Roman" w:eastAsia="Times New Roman" w:hAnsi="Times New Roman"/>
          <w:sz w:val="28"/>
          <w:szCs w:val="28"/>
          <w:lang w:val="uk-UA" w:eastAsia="x-none"/>
        </w:rPr>
        <w:t>’</w:t>
      </w:r>
      <w:r w:rsidRPr="007B3484">
        <w:rPr>
          <w:rFonts w:ascii="Times New Roman" w:hAnsi="Times New Roman"/>
          <w:iCs/>
          <w:sz w:val="28"/>
          <w:szCs w:val="28"/>
          <w:shd w:val="clear" w:color="auto" w:fill="FFFFFF"/>
          <w:lang w:val="uk-UA"/>
        </w:rPr>
        <w:t>я або свободу іншої особи. Це положення прямо стосується також переслідування та загрози тілесної шкоди або незаконного обмеження. У цих випадках (наприклад, умисне та злочинне пошкодження тіла, здоров</w:t>
      </w:r>
      <w:r w:rsidRPr="007B3484">
        <w:rPr>
          <w:rFonts w:ascii="Times New Roman" w:eastAsia="Times New Roman" w:hAnsi="Times New Roman"/>
          <w:sz w:val="28"/>
          <w:szCs w:val="28"/>
          <w:lang w:val="uk-UA" w:eastAsia="x-none"/>
        </w:rPr>
        <w:t>’</w:t>
      </w:r>
      <w:r w:rsidRPr="007B3484">
        <w:rPr>
          <w:rFonts w:ascii="Times New Roman" w:hAnsi="Times New Roman"/>
          <w:iCs/>
          <w:sz w:val="28"/>
          <w:szCs w:val="28"/>
          <w:shd w:val="clear" w:color="auto" w:fill="FFFFFF"/>
          <w:lang w:val="uk-UA"/>
        </w:rPr>
        <w:t xml:space="preserve">я чи свободи іншої особи, випадки загрози тілесної шкоди або незаконного обмеження) можливими є також накази про виселення, якщо жертва та особа, яка вчинила насилля, живуть разом. Тривалість виселення залежить від права власності на квартиру або договору лізингу (орендована разом, лише одним партнером) та складає термін до 6 місяців. Обидва види наказів можуть бути видані як тимчасовий порядок, у прискореному порядку. Поліцейські закони у Німеччині дозволяють поліції затримувати злочинців протягом 7-14 днів у випадках фізичного насильства, загроз насильства та переслідування. Ці розпорядження видаються для запобігання подальшому насильству </w:t>
      </w:r>
    </w:p>
    <w:p w:rsidR="007B3484" w:rsidRPr="007B3484" w:rsidRDefault="007B3484" w:rsidP="009B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i/>
          <w:sz w:val="28"/>
          <w:szCs w:val="28"/>
          <w:lang w:val="uk-UA" w:eastAsia="x-none"/>
        </w:rPr>
      </w:pPr>
      <w:r w:rsidRPr="007B3484">
        <w:rPr>
          <w:rFonts w:ascii="Times New Roman" w:eastAsia="Times New Roman" w:hAnsi="Times New Roman"/>
          <w:sz w:val="28"/>
          <w:szCs w:val="28"/>
          <w:lang w:val="uk-UA" w:eastAsia="x-none"/>
        </w:rPr>
        <w:t xml:space="preserve">Також за законодавством </w:t>
      </w:r>
      <w:r w:rsidRPr="007B3484">
        <w:rPr>
          <w:rFonts w:ascii="Times New Roman" w:eastAsia="Times New Roman" w:hAnsi="Times New Roman"/>
          <w:b/>
          <w:sz w:val="28"/>
          <w:szCs w:val="28"/>
          <w:lang w:val="uk-UA" w:eastAsia="x-none"/>
        </w:rPr>
        <w:t xml:space="preserve">Нідерландів </w:t>
      </w:r>
      <w:r w:rsidRPr="007B3484">
        <w:rPr>
          <w:rFonts w:ascii="Times New Roman" w:eastAsia="Times New Roman" w:hAnsi="Times New Roman"/>
          <w:sz w:val="28"/>
          <w:szCs w:val="28"/>
          <w:lang w:val="uk-UA" w:eastAsia="x-none"/>
        </w:rPr>
        <w:t>суд може застосувати «контактний порядок» (</w:t>
      </w:r>
      <w:proofErr w:type="spellStart"/>
      <w:r w:rsidRPr="007B3484">
        <w:rPr>
          <w:rFonts w:ascii="Times New Roman" w:eastAsia="Times New Roman" w:hAnsi="Times New Roman"/>
          <w:sz w:val="28"/>
          <w:szCs w:val="28"/>
          <w:lang w:val="uk-UA" w:eastAsia="x-none"/>
        </w:rPr>
        <w:t>contactverbod</w:t>
      </w:r>
      <w:proofErr w:type="spellEnd"/>
      <w:r w:rsidRPr="007B3484">
        <w:rPr>
          <w:rFonts w:ascii="Times New Roman" w:eastAsia="Times New Roman" w:hAnsi="Times New Roman"/>
          <w:sz w:val="28"/>
          <w:szCs w:val="28"/>
          <w:lang w:val="uk-UA" w:eastAsia="x-none"/>
        </w:rPr>
        <w:t>), який передбачає, що правопорушнику більше не дозволяється звертатися до потерпілого (особисто, письмово, за телефоном, електронною поштою чи будь-яким іншим способом спілкування). Інший варіант, який може бути одночасно застосований, – це «порядок стримування вулиць» (straat-en/</w:t>
      </w:r>
      <w:proofErr w:type="spellStart"/>
      <w:r w:rsidRPr="007B3484">
        <w:rPr>
          <w:rFonts w:ascii="Times New Roman" w:eastAsia="Times New Roman" w:hAnsi="Times New Roman"/>
          <w:sz w:val="28"/>
          <w:szCs w:val="28"/>
          <w:lang w:val="uk-UA" w:eastAsia="x-none"/>
        </w:rPr>
        <w:t>of</w:t>
      </w:r>
      <w:proofErr w:type="spellEnd"/>
      <w:r w:rsidRPr="007B3484">
        <w:rPr>
          <w:rFonts w:ascii="Times New Roman" w:eastAsia="Times New Roman" w:hAnsi="Times New Roman"/>
          <w:sz w:val="28"/>
          <w:szCs w:val="28"/>
          <w:lang w:val="uk-UA" w:eastAsia="x-none"/>
        </w:rPr>
        <w:t xml:space="preserve"> </w:t>
      </w:r>
      <w:proofErr w:type="spellStart"/>
      <w:r w:rsidRPr="007B3484">
        <w:rPr>
          <w:rFonts w:ascii="Times New Roman" w:eastAsia="Times New Roman" w:hAnsi="Times New Roman"/>
          <w:sz w:val="28"/>
          <w:szCs w:val="28"/>
          <w:lang w:val="uk-UA" w:eastAsia="x-none"/>
        </w:rPr>
        <w:t>gebiedsverbod</w:t>
      </w:r>
      <w:proofErr w:type="spellEnd"/>
      <w:r w:rsidRPr="007B3484">
        <w:rPr>
          <w:rFonts w:ascii="Times New Roman" w:eastAsia="Times New Roman" w:hAnsi="Times New Roman"/>
          <w:sz w:val="28"/>
          <w:szCs w:val="28"/>
          <w:lang w:val="uk-UA" w:eastAsia="x-none"/>
        </w:rPr>
        <w:t>). Після винесення такого рішення правопорушнику більше не дозволяється приходити на вулицю, де проживає потерпілий, або бути присутнім у певній місцевості. Найчастіше в рішеннях це питання зазначається таким чином, щоб забезпечити максимальну безпеку потерпілому під час його повсякденної діяльності, одночасно мінімізуючи свободу пересу</w:t>
      </w:r>
      <w:r w:rsidR="00F76D35">
        <w:rPr>
          <w:rFonts w:ascii="Times New Roman" w:eastAsia="Times New Roman" w:hAnsi="Times New Roman"/>
          <w:sz w:val="28"/>
          <w:szCs w:val="28"/>
          <w:lang w:val="uk-UA" w:eastAsia="x-none"/>
        </w:rPr>
        <w:t>вання правопорушник</w:t>
      </w:r>
      <w:r w:rsidRPr="007B3484">
        <w:rPr>
          <w:rFonts w:ascii="Times New Roman" w:hAnsi="Times New Roman"/>
          <w:sz w:val="28"/>
          <w:szCs w:val="28"/>
          <w:lang w:val="uk-UA"/>
        </w:rPr>
        <w:t>.</w:t>
      </w:r>
      <w:r w:rsidRPr="007B3484">
        <w:rPr>
          <w:rFonts w:ascii="Times New Roman" w:eastAsia="Times New Roman" w:hAnsi="Times New Roman"/>
          <w:sz w:val="28"/>
          <w:szCs w:val="28"/>
          <w:lang w:val="uk-UA" w:eastAsia="x-none"/>
        </w:rPr>
        <w:t xml:space="preserve"> Лікарняне розпорядження є унікальним положенням у кримінальному законодавстві, де правопорушник, в якого є розлади психологічного, психічного або сексуального характеру та в якому встановлено діагноз високого ризику рецидиву, затримується під час інтенсивного судово-психіатричного лікування. Тривалість цього типу затримання ніколи не </w:t>
      </w:r>
      <w:r w:rsidRPr="007B3484">
        <w:rPr>
          <w:rFonts w:ascii="Times New Roman" w:eastAsia="Times New Roman" w:hAnsi="Times New Roman"/>
          <w:sz w:val="28"/>
          <w:szCs w:val="28"/>
          <w:lang w:val="uk-UA" w:eastAsia="x-none"/>
        </w:rPr>
        <w:lastRenderedPageBreak/>
        <w:t>визначається заздалегідь, але залежить від того, чи вважається злочинець виліковним.</w:t>
      </w:r>
    </w:p>
    <w:p w:rsidR="007B3484" w:rsidRPr="007B3484" w:rsidRDefault="007B3484" w:rsidP="009B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i/>
          <w:iCs/>
          <w:sz w:val="28"/>
          <w:szCs w:val="28"/>
          <w:shd w:val="clear" w:color="auto" w:fill="FFFFFF"/>
          <w:lang w:val="uk-UA"/>
        </w:rPr>
      </w:pPr>
      <w:r w:rsidRPr="007B3484">
        <w:rPr>
          <w:rFonts w:ascii="Times New Roman" w:hAnsi="Times New Roman"/>
          <w:iCs/>
          <w:sz w:val="28"/>
          <w:szCs w:val="28"/>
          <w:shd w:val="clear" w:color="auto" w:fill="FFFFFF"/>
          <w:lang w:val="uk-UA"/>
        </w:rPr>
        <w:t xml:space="preserve">Так, у </w:t>
      </w:r>
      <w:r w:rsidRPr="007B3484">
        <w:rPr>
          <w:rFonts w:ascii="Times New Roman" w:hAnsi="Times New Roman"/>
          <w:b/>
          <w:iCs/>
          <w:sz w:val="28"/>
          <w:szCs w:val="28"/>
          <w:shd w:val="clear" w:color="auto" w:fill="FFFFFF"/>
          <w:lang w:val="uk-UA"/>
        </w:rPr>
        <w:t xml:space="preserve">Бельгії </w:t>
      </w:r>
      <w:r w:rsidRPr="007B3484">
        <w:rPr>
          <w:rFonts w:ascii="Times New Roman" w:hAnsi="Times New Roman"/>
          <w:iCs/>
          <w:sz w:val="28"/>
          <w:szCs w:val="28"/>
          <w:shd w:val="clear" w:color="auto" w:fill="FFFFFF"/>
          <w:lang w:val="uk-UA"/>
        </w:rPr>
        <w:t xml:space="preserve">з метою протидії </w:t>
      </w:r>
      <w:proofErr w:type="spellStart"/>
      <w:r w:rsidRPr="007B3484">
        <w:rPr>
          <w:rFonts w:ascii="Times New Roman" w:hAnsi="Times New Roman"/>
          <w:iCs/>
          <w:sz w:val="28"/>
          <w:szCs w:val="28"/>
          <w:shd w:val="clear" w:color="auto" w:fill="FFFFFF"/>
          <w:lang w:val="uk-UA"/>
        </w:rPr>
        <w:t>гендерно</w:t>
      </w:r>
      <w:proofErr w:type="spellEnd"/>
      <w:r w:rsidRPr="007B3484">
        <w:rPr>
          <w:rFonts w:ascii="Times New Roman" w:hAnsi="Times New Roman"/>
          <w:iCs/>
          <w:sz w:val="28"/>
          <w:szCs w:val="28"/>
          <w:shd w:val="clear" w:color="auto" w:fill="FFFFFF"/>
          <w:lang w:val="uk-UA"/>
        </w:rPr>
        <w:t xml:space="preserve"> обумовленому насильству було прийнято Національний план дій боротьби з усіма формами </w:t>
      </w:r>
      <w:proofErr w:type="spellStart"/>
      <w:r w:rsidRPr="007B3484">
        <w:rPr>
          <w:rFonts w:ascii="Times New Roman" w:hAnsi="Times New Roman"/>
          <w:iCs/>
          <w:sz w:val="28"/>
          <w:szCs w:val="28"/>
          <w:shd w:val="clear" w:color="auto" w:fill="FFFFFF"/>
          <w:lang w:val="uk-UA"/>
        </w:rPr>
        <w:t>гендерно</w:t>
      </w:r>
      <w:proofErr w:type="spellEnd"/>
      <w:r w:rsidRPr="007B3484">
        <w:rPr>
          <w:rFonts w:ascii="Times New Roman" w:hAnsi="Times New Roman"/>
          <w:iCs/>
          <w:sz w:val="28"/>
          <w:szCs w:val="28"/>
          <w:shd w:val="clear" w:color="auto" w:fill="FFFFFF"/>
          <w:lang w:val="uk-UA"/>
        </w:rPr>
        <w:t xml:space="preserve"> обумовленого насильства на 2015–2019 роки. У вказаному Національному плані були визначені такі пріоритети: продовження комплексної політики боротьби з гендерним насильством та збирання кількісних та якісних даних про всі форми насильства; запобігання насильству; захист та підтримка жертв насилля;</w:t>
      </w:r>
      <w:r w:rsidRPr="007B3484">
        <w:rPr>
          <w:rFonts w:ascii="Times New Roman" w:eastAsia="Times New Roman" w:hAnsi="Times New Roman"/>
          <w:sz w:val="28"/>
          <w:szCs w:val="20"/>
          <w:lang w:val="uk-UA" w:eastAsia="x-none"/>
        </w:rPr>
        <w:t xml:space="preserve"> </w:t>
      </w:r>
      <w:r w:rsidRPr="007B3484">
        <w:rPr>
          <w:rFonts w:ascii="Times New Roman" w:hAnsi="Times New Roman"/>
          <w:iCs/>
          <w:sz w:val="28"/>
          <w:szCs w:val="28"/>
          <w:shd w:val="clear" w:color="auto" w:fill="FFFFFF"/>
          <w:lang w:val="uk-UA"/>
        </w:rPr>
        <w:t>розслідування та реагування з вжиттям відповідних заходів; врахування гендерного аспекту у питаннях притулку та міграційної політики; боротьба з насильством на міжнародному рівні</w:t>
      </w:r>
      <w:r w:rsidRPr="007B3484">
        <w:rPr>
          <w:rFonts w:ascii="Times New Roman" w:hAnsi="Times New Roman"/>
          <w:i/>
          <w:iCs/>
          <w:sz w:val="28"/>
          <w:szCs w:val="28"/>
          <w:shd w:val="clear" w:color="auto" w:fill="FFFFFF"/>
          <w:lang w:val="uk-UA"/>
        </w:rPr>
        <w:t xml:space="preserve"> </w:t>
      </w:r>
    </w:p>
    <w:p w:rsidR="007B3484" w:rsidRPr="007B3484" w:rsidRDefault="007B3484" w:rsidP="009B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iCs/>
          <w:sz w:val="28"/>
          <w:szCs w:val="28"/>
          <w:shd w:val="clear" w:color="auto" w:fill="FFFFFF"/>
          <w:lang w:val="uk-UA"/>
        </w:rPr>
      </w:pPr>
      <w:r w:rsidRPr="007B3484">
        <w:rPr>
          <w:rFonts w:ascii="Times New Roman" w:hAnsi="Times New Roman"/>
          <w:iCs/>
          <w:sz w:val="28"/>
          <w:szCs w:val="28"/>
          <w:shd w:val="clear" w:color="auto" w:fill="FFFFFF"/>
          <w:lang w:val="uk-UA"/>
        </w:rPr>
        <w:t xml:space="preserve">У </w:t>
      </w:r>
      <w:r w:rsidRPr="007B3484">
        <w:rPr>
          <w:rFonts w:ascii="Times New Roman" w:hAnsi="Times New Roman"/>
          <w:b/>
          <w:iCs/>
          <w:sz w:val="28"/>
          <w:szCs w:val="28"/>
          <w:shd w:val="clear" w:color="auto" w:fill="FFFFFF"/>
          <w:lang w:val="uk-UA"/>
        </w:rPr>
        <w:t>Словаччині</w:t>
      </w:r>
      <w:r w:rsidRPr="007B3484">
        <w:rPr>
          <w:rFonts w:ascii="Times New Roman" w:hAnsi="Times New Roman"/>
          <w:iCs/>
          <w:sz w:val="28"/>
          <w:szCs w:val="28"/>
          <w:shd w:val="clear" w:color="auto" w:fill="FFFFFF"/>
          <w:lang w:val="uk-UA"/>
        </w:rPr>
        <w:t xml:space="preserve"> прийнято Національний план дій для запобігання та ліквідації насильства проти жінок 2014–2019 роки, в якому визначено, що насилля проти жінок є однією з форм </w:t>
      </w:r>
      <w:proofErr w:type="spellStart"/>
      <w:r w:rsidRPr="007B3484">
        <w:rPr>
          <w:rFonts w:ascii="Times New Roman" w:hAnsi="Times New Roman"/>
          <w:iCs/>
          <w:sz w:val="28"/>
          <w:szCs w:val="28"/>
          <w:shd w:val="clear" w:color="auto" w:fill="FFFFFF"/>
          <w:lang w:val="uk-UA"/>
        </w:rPr>
        <w:t>гендерно</w:t>
      </w:r>
      <w:proofErr w:type="spellEnd"/>
      <w:r w:rsidRPr="007B3484">
        <w:rPr>
          <w:rFonts w:ascii="Times New Roman" w:hAnsi="Times New Roman"/>
          <w:iCs/>
          <w:sz w:val="28"/>
          <w:szCs w:val="28"/>
          <w:shd w:val="clear" w:color="auto" w:fill="FFFFFF"/>
          <w:lang w:val="uk-UA"/>
        </w:rPr>
        <w:t xml:space="preserve"> обумовленого насильства, та держава повинна докласти всіх зусиль для захисту жінок та протидії насиллю за ознакою статі. Прагнучи змінити цю несприятливу ситуацію та протидіяти цій проблемі, уряд Словацької Республіки прийняв на законодавчому рівні стратегії та плани, призначені для вирішення проблеми насильства щодо жінок: Національна стратегія попередження та ліквідації насильства щодо жінок та сім</w:t>
      </w:r>
      <w:r w:rsidRPr="007B3484">
        <w:rPr>
          <w:rFonts w:ascii="Times New Roman" w:eastAsia="Times New Roman" w:hAnsi="Times New Roman"/>
          <w:sz w:val="28"/>
          <w:szCs w:val="28"/>
          <w:lang w:val="uk-UA" w:eastAsia="x-none"/>
        </w:rPr>
        <w:t>’</w:t>
      </w:r>
      <w:r w:rsidRPr="007B3484">
        <w:rPr>
          <w:rFonts w:ascii="Times New Roman" w:hAnsi="Times New Roman"/>
          <w:iCs/>
          <w:sz w:val="28"/>
          <w:szCs w:val="28"/>
          <w:shd w:val="clear" w:color="auto" w:fill="FFFFFF"/>
          <w:lang w:val="uk-UA"/>
        </w:rPr>
        <w:t>ї (2004 р.), Національний план дій з попередження та ліквідації насильства щодо жінок на 2005-2008 роки (2005 р.) та Національний план дій щодо попередження та ліквідації насильства щодо жінок на 2009-2012 роки.</w:t>
      </w:r>
    </w:p>
    <w:p w:rsidR="007B3484" w:rsidRPr="007B3484" w:rsidRDefault="007B3484" w:rsidP="009B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iCs/>
          <w:sz w:val="28"/>
          <w:szCs w:val="28"/>
          <w:shd w:val="clear" w:color="auto" w:fill="FFFFFF"/>
          <w:lang w:val="uk-UA"/>
        </w:rPr>
      </w:pPr>
      <w:r w:rsidRPr="007B3484">
        <w:rPr>
          <w:rFonts w:ascii="Times New Roman" w:hAnsi="Times New Roman"/>
          <w:iCs/>
          <w:sz w:val="28"/>
          <w:szCs w:val="28"/>
          <w:shd w:val="clear" w:color="auto" w:fill="FFFFFF"/>
          <w:lang w:val="uk-UA"/>
        </w:rPr>
        <w:t xml:space="preserve">Україна також не стоїть осторонь цієї проблеми та вживає всіх необхідних заходів з метою протидії </w:t>
      </w:r>
      <w:proofErr w:type="spellStart"/>
      <w:r w:rsidRPr="007B3484">
        <w:rPr>
          <w:rFonts w:ascii="Times New Roman" w:hAnsi="Times New Roman"/>
          <w:iCs/>
          <w:sz w:val="28"/>
          <w:szCs w:val="28"/>
          <w:shd w:val="clear" w:color="auto" w:fill="FFFFFF"/>
          <w:lang w:val="uk-UA"/>
        </w:rPr>
        <w:t>гендерно</w:t>
      </w:r>
      <w:proofErr w:type="spellEnd"/>
      <w:r w:rsidRPr="007B3484">
        <w:rPr>
          <w:rFonts w:ascii="Times New Roman" w:hAnsi="Times New Roman"/>
          <w:iCs/>
          <w:sz w:val="28"/>
          <w:szCs w:val="28"/>
          <w:shd w:val="clear" w:color="auto" w:fill="FFFFFF"/>
          <w:lang w:val="uk-UA"/>
        </w:rPr>
        <w:t xml:space="preserve"> обумовленому насильству та викорінення останнього із суспільства. </w:t>
      </w:r>
      <w:r w:rsidRPr="007B3484">
        <w:rPr>
          <w:rFonts w:ascii="Times New Roman" w:eastAsia="Times New Roman" w:hAnsi="Times New Roman"/>
          <w:sz w:val="28"/>
          <w:szCs w:val="28"/>
          <w:lang w:val="uk-UA" w:eastAsia="x-none"/>
        </w:rPr>
        <w:t>Так, з метою негайного реагування на насильство за ознакою статі та допомогу постраждалим особам Кабінетом Міністрів України було прийнято постанову від 22 серпня 2018 р. № 658 «</w:t>
      </w:r>
      <w:r w:rsidRPr="007B3484">
        <w:rPr>
          <w:rFonts w:ascii="Times New Roman" w:eastAsia="Times New Roman" w:hAnsi="Times New Roman"/>
          <w:bCs/>
          <w:sz w:val="28"/>
          <w:szCs w:val="28"/>
          <w:shd w:val="clear" w:color="auto" w:fill="FFFFFF"/>
          <w:lang w:val="uk-UA" w:eastAsia="x-none"/>
        </w:rPr>
        <w:t xml:space="preserve">Про затвердження Порядку взаємодії суб’єктів, що здійснюють заходи у сфері запобігання та протидії домашньому насильству і насильству за ознакою статі». Цим порядком визначається </w:t>
      </w:r>
      <w:r w:rsidRPr="007B3484">
        <w:rPr>
          <w:rFonts w:ascii="Times New Roman" w:eastAsia="Times New Roman" w:hAnsi="Times New Roman"/>
          <w:sz w:val="28"/>
          <w:szCs w:val="28"/>
          <w:shd w:val="clear" w:color="auto" w:fill="FFFFFF"/>
          <w:lang w:val="uk-UA" w:eastAsia="x-none"/>
        </w:rPr>
        <w:t xml:space="preserve">механізм взаємодії суб’єктів, що </w:t>
      </w:r>
      <w:r w:rsidRPr="007B3484">
        <w:rPr>
          <w:rFonts w:ascii="Times New Roman" w:eastAsia="Times New Roman" w:hAnsi="Times New Roman"/>
          <w:sz w:val="28"/>
          <w:szCs w:val="28"/>
          <w:shd w:val="clear" w:color="auto" w:fill="FFFFFF"/>
          <w:lang w:val="uk-UA" w:eastAsia="x-none"/>
        </w:rPr>
        <w:lastRenderedPageBreak/>
        <w:t>здійснюють заходи у сфері запобігання та протидії домашньому насильству і насильству за ознакою статі, спрямованої на забезпечення комплексного інтегрованого підходу до подолання насильства та сприяння реалізації прав осіб, постраждалих від насильства, шляхом запобігання насильству, ефективного реагування на факти насильства, надання допомоги та захисту постраждалим особам, забезпечення відшкодування заподіяної шкоди, належного розслідування фактів насильства та притягнення кривдників до передбаченої законом відповідальності</w:t>
      </w:r>
      <w:r w:rsidRPr="007B3484">
        <w:rPr>
          <w:rFonts w:ascii="Times New Roman" w:eastAsia="Times New Roman" w:hAnsi="Times New Roman"/>
          <w:iCs/>
          <w:sz w:val="28"/>
          <w:szCs w:val="28"/>
          <w:lang w:val="uk-UA" w:eastAsia="x-none"/>
        </w:rPr>
        <w:t>.</w:t>
      </w:r>
    </w:p>
    <w:p w:rsidR="007B3484" w:rsidRPr="007B3484" w:rsidRDefault="007B3484" w:rsidP="009B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shd w:val="clear" w:color="auto" w:fill="FFFFFF"/>
          <w:lang w:val="uk-UA" w:eastAsia="x-none"/>
        </w:rPr>
      </w:pPr>
      <w:r w:rsidRPr="007B3484">
        <w:rPr>
          <w:rFonts w:ascii="Times New Roman" w:eastAsia="Times New Roman" w:hAnsi="Times New Roman"/>
          <w:sz w:val="28"/>
          <w:szCs w:val="28"/>
          <w:lang w:val="uk-UA" w:eastAsia="x-none"/>
        </w:rPr>
        <w:t>Крім того, урядом затверджено постанову від 22 серпня 2018 року № 654 «</w:t>
      </w:r>
      <w:r w:rsidRPr="007B3484">
        <w:rPr>
          <w:rFonts w:ascii="Times New Roman" w:eastAsia="Times New Roman" w:hAnsi="Times New Roman"/>
          <w:sz w:val="28"/>
          <w:szCs w:val="28"/>
          <w:shd w:val="clear" w:color="auto" w:fill="FFFFFF"/>
          <w:lang w:val="uk-UA" w:eastAsia="x-none"/>
        </w:rPr>
        <w:t>Про затвердження Типового положення про мобільну бригаду соціально-психологічної допомоги особам, які постраждали від домашнього насильства та/або насильства за ознакою статі». Робота таких мобільних бригад сприятиме підвищенню спроможності територіальних громад забезпечувати доступ постраждалих осіб до якісних соціальних та реабілітаційних послуг та екстрене реагування на випадки насильства з метою запобігання та протидії останньому</w:t>
      </w:r>
      <w:r w:rsidRPr="007B3484">
        <w:rPr>
          <w:rFonts w:ascii="Times New Roman" w:eastAsia="Times New Roman" w:hAnsi="Times New Roman"/>
          <w:iCs/>
          <w:sz w:val="28"/>
          <w:szCs w:val="28"/>
          <w:lang w:val="uk-UA" w:eastAsia="x-none"/>
        </w:rPr>
        <w:t xml:space="preserve">. Боротьба з </w:t>
      </w:r>
      <w:proofErr w:type="spellStart"/>
      <w:r w:rsidRPr="007B3484">
        <w:rPr>
          <w:rFonts w:ascii="Times New Roman" w:eastAsia="Times New Roman" w:hAnsi="Times New Roman"/>
          <w:iCs/>
          <w:sz w:val="28"/>
          <w:szCs w:val="28"/>
          <w:shd w:val="clear" w:color="auto" w:fill="FFFFFF"/>
          <w:lang w:val="uk-UA" w:eastAsia="x-none"/>
        </w:rPr>
        <w:t>гендерно</w:t>
      </w:r>
      <w:proofErr w:type="spellEnd"/>
      <w:r w:rsidRPr="007B3484">
        <w:rPr>
          <w:rFonts w:ascii="Times New Roman" w:eastAsia="Times New Roman" w:hAnsi="Times New Roman"/>
          <w:iCs/>
          <w:sz w:val="28"/>
          <w:szCs w:val="28"/>
          <w:shd w:val="clear" w:color="auto" w:fill="FFFFFF"/>
          <w:lang w:val="uk-UA" w:eastAsia="x-none"/>
        </w:rPr>
        <w:t xml:space="preserve"> обумовленим насильством – це головне питання охорони здоров</w:t>
      </w:r>
      <w:r w:rsidRPr="007B3484">
        <w:rPr>
          <w:rFonts w:ascii="Times New Roman" w:eastAsia="Times New Roman" w:hAnsi="Times New Roman"/>
          <w:sz w:val="28"/>
          <w:szCs w:val="28"/>
          <w:lang w:val="uk-UA" w:eastAsia="x-none"/>
        </w:rPr>
        <w:t>’</w:t>
      </w:r>
      <w:r w:rsidRPr="007B3484">
        <w:rPr>
          <w:rFonts w:ascii="Times New Roman" w:eastAsia="Times New Roman" w:hAnsi="Times New Roman"/>
          <w:iCs/>
          <w:sz w:val="28"/>
          <w:szCs w:val="28"/>
          <w:shd w:val="clear" w:color="auto" w:fill="FFFFFF"/>
          <w:lang w:val="uk-UA" w:eastAsia="x-none"/>
        </w:rPr>
        <w:t>я. Наявність робочої сили, яка навчиться протидіяти та управляти зловживаннями, має важливе значення для вирішення не лише сучасних проблем зі здоров</w:t>
      </w:r>
      <w:r w:rsidRPr="007B3484">
        <w:rPr>
          <w:rFonts w:ascii="Times New Roman" w:eastAsia="Times New Roman" w:hAnsi="Times New Roman"/>
          <w:sz w:val="28"/>
          <w:szCs w:val="28"/>
          <w:lang w:val="uk-UA" w:eastAsia="x-none"/>
        </w:rPr>
        <w:t>’</w:t>
      </w:r>
      <w:r w:rsidRPr="007B3484">
        <w:rPr>
          <w:rFonts w:ascii="Times New Roman" w:eastAsia="Times New Roman" w:hAnsi="Times New Roman"/>
          <w:iCs/>
          <w:sz w:val="28"/>
          <w:szCs w:val="28"/>
          <w:shd w:val="clear" w:color="auto" w:fill="FFFFFF"/>
          <w:lang w:val="uk-UA" w:eastAsia="x-none"/>
        </w:rPr>
        <w:t>ям, а й проблем майбутніх поколінь.</w:t>
      </w:r>
    </w:p>
    <w:p w:rsidR="007B3484" w:rsidRPr="007B3484" w:rsidRDefault="007B3484" w:rsidP="009B1EBB">
      <w:pPr>
        <w:shd w:val="clear" w:color="auto" w:fill="FFFFFF"/>
        <w:spacing w:after="0" w:line="360" w:lineRule="auto"/>
        <w:ind w:firstLine="709"/>
        <w:jc w:val="both"/>
        <w:rPr>
          <w:rFonts w:ascii="Times New Roman" w:eastAsia="Times New Roman" w:hAnsi="Times New Roman"/>
          <w:sz w:val="28"/>
          <w:szCs w:val="28"/>
          <w:lang w:val="uk-UA" w:eastAsia="ru-RU"/>
        </w:rPr>
      </w:pPr>
      <w:r w:rsidRPr="007B3484">
        <w:rPr>
          <w:rFonts w:ascii="Times New Roman" w:eastAsia="Times New Roman" w:hAnsi="Times New Roman"/>
          <w:sz w:val="28"/>
          <w:szCs w:val="28"/>
          <w:lang w:val="uk-UA" w:eastAsia="ru-RU"/>
        </w:rPr>
        <w:t xml:space="preserve">Директива Європейського Союзу 2011/99/EU спрямована на захист жертв, у тому числі постраждалих від </w:t>
      </w:r>
      <w:proofErr w:type="spellStart"/>
      <w:r w:rsidRPr="007B3484">
        <w:rPr>
          <w:rFonts w:ascii="Times New Roman" w:eastAsia="Times New Roman" w:hAnsi="Times New Roman"/>
          <w:sz w:val="28"/>
          <w:szCs w:val="28"/>
          <w:lang w:val="uk-UA" w:eastAsia="ru-RU"/>
        </w:rPr>
        <w:t>гендерно</w:t>
      </w:r>
      <w:proofErr w:type="spellEnd"/>
      <w:r w:rsidRPr="007B3484">
        <w:rPr>
          <w:rFonts w:ascii="Times New Roman" w:eastAsia="Times New Roman" w:hAnsi="Times New Roman"/>
          <w:sz w:val="28"/>
          <w:szCs w:val="28"/>
          <w:lang w:val="uk-UA" w:eastAsia="ru-RU"/>
        </w:rPr>
        <w:t xml:space="preserve"> обумовленого насильства. Прийняття Європейським Союзом спеціальної Директиви є важливою юридичною мірою протидії такому насильству та захистом постраждалих осіб, враховуючи специфіку кожного виду відповідного злочину та форм/видів гендерного насильства. </w:t>
      </w:r>
      <w:proofErr w:type="spellStart"/>
      <w:r w:rsidRPr="007B3484">
        <w:rPr>
          <w:rFonts w:ascii="Times New Roman" w:eastAsia="Times New Roman" w:hAnsi="Times New Roman"/>
          <w:sz w:val="28"/>
          <w:szCs w:val="28"/>
          <w:lang w:val="uk-UA" w:eastAsia="ru-RU"/>
        </w:rPr>
        <w:t>Гендерно</w:t>
      </w:r>
      <w:proofErr w:type="spellEnd"/>
      <w:r w:rsidRPr="007B3484">
        <w:rPr>
          <w:rFonts w:ascii="Times New Roman" w:eastAsia="Times New Roman" w:hAnsi="Times New Roman"/>
          <w:sz w:val="28"/>
          <w:szCs w:val="28"/>
          <w:lang w:val="uk-UA" w:eastAsia="ru-RU"/>
        </w:rPr>
        <w:t xml:space="preserve"> обумовлене насильство потребує конкретної соціальної, правової та політичної реакції задля визначення підходів та методів боротьби з останнім.</w:t>
      </w:r>
    </w:p>
    <w:p w:rsidR="007B3484" w:rsidRPr="007B3484" w:rsidRDefault="007B3484" w:rsidP="009B1EBB">
      <w:pPr>
        <w:shd w:val="clear" w:color="auto" w:fill="FFFFFF"/>
        <w:spacing w:after="0" w:line="360" w:lineRule="auto"/>
        <w:ind w:firstLine="709"/>
        <w:jc w:val="both"/>
        <w:rPr>
          <w:rFonts w:ascii="Times New Roman" w:eastAsia="Times New Roman" w:hAnsi="Times New Roman"/>
          <w:sz w:val="28"/>
          <w:szCs w:val="28"/>
          <w:lang w:val="uk-UA" w:eastAsia="ru-RU"/>
        </w:rPr>
      </w:pPr>
      <w:r w:rsidRPr="007B3484">
        <w:rPr>
          <w:rFonts w:ascii="Times New Roman" w:eastAsia="Times New Roman" w:hAnsi="Times New Roman"/>
          <w:sz w:val="28"/>
          <w:szCs w:val="28"/>
          <w:lang w:val="uk-UA" w:eastAsia="x-none"/>
        </w:rPr>
        <w:t>Європейський інститут гендерної рівності у протидії гендерному насильству велику увагу приділяє статистиц</w:t>
      </w:r>
      <w:r w:rsidR="00D85EB4">
        <w:rPr>
          <w:rFonts w:ascii="Times New Roman" w:eastAsia="Times New Roman" w:hAnsi="Times New Roman"/>
          <w:sz w:val="28"/>
          <w:szCs w:val="28"/>
          <w:lang w:val="uk-UA" w:eastAsia="x-none"/>
        </w:rPr>
        <w:t xml:space="preserve">і, яку, </w:t>
      </w:r>
      <w:r w:rsidRPr="007B3484">
        <w:rPr>
          <w:rFonts w:ascii="Times New Roman" w:eastAsia="Times New Roman" w:hAnsi="Times New Roman"/>
          <w:sz w:val="28"/>
          <w:szCs w:val="28"/>
          <w:lang w:val="uk-UA" w:eastAsia="x-none"/>
        </w:rPr>
        <w:t>в свою чергу</w:t>
      </w:r>
      <w:r w:rsidR="00D85EB4">
        <w:rPr>
          <w:rFonts w:ascii="Times New Roman" w:eastAsia="Times New Roman" w:hAnsi="Times New Roman"/>
          <w:sz w:val="28"/>
          <w:szCs w:val="28"/>
          <w:lang w:val="uk-UA" w:eastAsia="x-none"/>
        </w:rPr>
        <w:t xml:space="preserve">, </w:t>
      </w:r>
      <w:r w:rsidRPr="007B3484">
        <w:rPr>
          <w:rFonts w:ascii="Times New Roman" w:eastAsia="Times New Roman" w:hAnsi="Times New Roman"/>
          <w:sz w:val="28"/>
          <w:szCs w:val="28"/>
          <w:lang w:val="uk-UA" w:eastAsia="x-none"/>
        </w:rPr>
        <w:t xml:space="preserve"> збирають </w:t>
      </w:r>
      <w:r w:rsidRPr="007B3484">
        <w:rPr>
          <w:rFonts w:ascii="Times New Roman" w:eastAsia="Times New Roman" w:hAnsi="Times New Roman"/>
          <w:sz w:val="28"/>
          <w:szCs w:val="28"/>
          <w:lang w:val="uk-UA" w:eastAsia="x-none"/>
        </w:rPr>
        <w:lastRenderedPageBreak/>
        <w:t>двома методами: опитування населення, за допомогою якого з’ясовується, які форми гендерного насильства превалюють у суспільстві, та офіційна статистика органів, які безпосередньо працюють (стикаються) з особами, які зазнали насильства, та особами, які його вчинили.</w:t>
      </w:r>
    </w:p>
    <w:p w:rsidR="00F76D35" w:rsidRDefault="007B3484" w:rsidP="009B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iCs/>
          <w:sz w:val="28"/>
          <w:szCs w:val="28"/>
          <w:shd w:val="clear" w:color="auto" w:fill="FFFFFF"/>
          <w:lang w:val="uk-UA"/>
        </w:rPr>
      </w:pPr>
      <w:r w:rsidRPr="007B3484">
        <w:rPr>
          <w:rFonts w:ascii="Times New Roman" w:hAnsi="Times New Roman"/>
          <w:iCs/>
          <w:sz w:val="28"/>
          <w:szCs w:val="28"/>
          <w:shd w:val="clear" w:color="auto" w:fill="FFFFFF"/>
          <w:lang w:val="uk-UA"/>
        </w:rPr>
        <w:t xml:space="preserve">Ефективна профілактика та реагування на насильство вимагає скоординованих заходів у багатьох сферах життєдіяльності людини, як мінімум у медичній, соціальній, юридичній, правоохоронній. </w:t>
      </w:r>
      <w:r w:rsidRPr="007B3484">
        <w:rPr>
          <w:rFonts w:ascii="Times New Roman" w:eastAsia="Times New Roman" w:hAnsi="Times New Roman"/>
          <w:sz w:val="28"/>
          <w:szCs w:val="28"/>
          <w:lang w:val="uk-UA" w:eastAsia="ru-RU"/>
        </w:rPr>
        <w:t>Загальними координаційними обов</w:t>
      </w:r>
      <w:r w:rsidRPr="007B3484">
        <w:rPr>
          <w:rFonts w:ascii="Times New Roman" w:eastAsia="Times New Roman" w:hAnsi="Times New Roman"/>
          <w:sz w:val="28"/>
          <w:szCs w:val="28"/>
          <w:lang w:val="uk-UA" w:eastAsia="x-none"/>
        </w:rPr>
        <w:t>’</w:t>
      </w:r>
      <w:r w:rsidRPr="007B3484">
        <w:rPr>
          <w:rFonts w:ascii="Times New Roman" w:eastAsia="Times New Roman" w:hAnsi="Times New Roman"/>
          <w:sz w:val="28"/>
          <w:szCs w:val="28"/>
          <w:lang w:val="uk-UA" w:eastAsia="ru-RU"/>
        </w:rPr>
        <w:t xml:space="preserve">язками </w:t>
      </w:r>
      <w:proofErr w:type="spellStart"/>
      <w:r w:rsidRPr="007B3484">
        <w:rPr>
          <w:rFonts w:ascii="Times New Roman" w:eastAsia="Times New Roman" w:hAnsi="Times New Roman"/>
          <w:sz w:val="28"/>
          <w:szCs w:val="28"/>
          <w:lang w:val="uk-UA" w:eastAsia="ru-RU"/>
        </w:rPr>
        <w:t>багатосекторального</w:t>
      </w:r>
      <w:proofErr w:type="spellEnd"/>
      <w:r w:rsidRPr="007B3484">
        <w:rPr>
          <w:rFonts w:ascii="Times New Roman" w:eastAsia="Times New Roman" w:hAnsi="Times New Roman"/>
          <w:sz w:val="28"/>
          <w:szCs w:val="28"/>
          <w:lang w:val="uk-UA" w:eastAsia="ru-RU"/>
        </w:rPr>
        <w:t xml:space="preserve"> підходу є: с</w:t>
      </w:r>
      <w:r w:rsidRPr="007B3484">
        <w:rPr>
          <w:rFonts w:ascii="Times New Roman" w:hAnsi="Times New Roman"/>
          <w:iCs/>
          <w:sz w:val="28"/>
          <w:szCs w:val="28"/>
          <w:shd w:val="clear" w:color="auto" w:fill="FFFFFF"/>
          <w:lang w:val="uk-UA"/>
        </w:rPr>
        <w:t xml:space="preserve">тратегічне планування; збір даних та керування інформацією; мобілізація ресурсів та забезпечення підзвітності; функціональний розподіл праці; проведення переговорів та підтримка ефективних дій як для запобігання, так і реагування. У свою чергу, до конкретних координаційних заходів належать: обмін інформацією про ресурси, керівні принципи та інші матеріали; обмін неочікуваними даними про інциденти сексуального характеру; обговорення та вирішення проблем профілактики та реагування; спільний моніторинг та оцінка; поточна розробка програм та політики </w:t>
      </w:r>
    </w:p>
    <w:p w:rsidR="00F76D35" w:rsidRPr="00F76D35" w:rsidRDefault="00F76D35" w:rsidP="009B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
          <w:sz w:val="28"/>
          <w:szCs w:val="28"/>
          <w:lang w:val="uk-UA" w:eastAsia="x-none"/>
        </w:rPr>
      </w:pPr>
      <w:r w:rsidRPr="00F76D35">
        <w:rPr>
          <w:rFonts w:ascii="Times New Roman" w:eastAsia="Times New Roman" w:hAnsi="Times New Roman"/>
          <w:b/>
          <w:sz w:val="28"/>
          <w:szCs w:val="28"/>
          <w:lang w:val="uk-UA" w:eastAsia="x-none"/>
        </w:rPr>
        <w:t xml:space="preserve">ВИСНОВКИ З ТРЕТЬОГО ПИТАННЯ. </w:t>
      </w:r>
    </w:p>
    <w:p w:rsidR="007B3484" w:rsidRPr="007B3484" w:rsidRDefault="007B3484" w:rsidP="009B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val="uk-UA" w:eastAsia="x-none"/>
        </w:rPr>
      </w:pPr>
      <w:r w:rsidRPr="007B3484">
        <w:rPr>
          <w:rFonts w:ascii="Times New Roman" w:eastAsia="Times New Roman" w:hAnsi="Times New Roman"/>
          <w:sz w:val="28"/>
          <w:szCs w:val="28"/>
          <w:lang w:val="uk-UA" w:eastAsia="x-none"/>
        </w:rPr>
        <w:t xml:space="preserve"> Україні вкрай необхідно розробити Національний план дій щодо боротьби з насильством, заснованим на </w:t>
      </w:r>
      <w:proofErr w:type="spellStart"/>
      <w:r w:rsidRPr="007B3484">
        <w:rPr>
          <w:rFonts w:ascii="Times New Roman" w:eastAsia="Times New Roman" w:hAnsi="Times New Roman"/>
          <w:sz w:val="28"/>
          <w:szCs w:val="28"/>
          <w:lang w:val="uk-UA" w:eastAsia="x-none"/>
        </w:rPr>
        <w:t>гендері</w:t>
      </w:r>
      <w:proofErr w:type="spellEnd"/>
      <w:r w:rsidRPr="007B3484">
        <w:rPr>
          <w:rFonts w:ascii="Times New Roman" w:eastAsia="Times New Roman" w:hAnsi="Times New Roman"/>
          <w:sz w:val="28"/>
          <w:szCs w:val="28"/>
          <w:lang w:val="uk-UA" w:eastAsia="x-none"/>
        </w:rPr>
        <w:t>, як це зробили провідні зарубіжні країни (Італія, Бельгія, США, Словаччина тощо).</w:t>
      </w:r>
      <w:r w:rsidR="00F76D35">
        <w:rPr>
          <w:rFonts w:ascii="Times New Roman" w:eastAsia="Times New Roman" w:hAnsi="Times New Roman"/>
          <w:sz w:val="28"/>
          <w:szCs w:val="28"/>
          <w:lang w:val="uk-UA" w:eastAsia="x-none"/>
        </w:rPr>
        <w:t xml:space="preserve"> </w:t>
      </w:r>
      <w:r w:rsidRPr="007B3484">
        <w:rPr>
          <w:rFonts w:ascii="Times New Roman" w:eastAsia="Times New Roman" w:hAnsi="Times New Roman"/>
          <w:sz w:val="28"/>
          <w:szCs w:val="28"/>
          <w:lang w:val="uk-UA" w:eastAsia="x-none"/>
        </w:rPr>
        <w:t>Формування Національного плану дій щодо впровадження гендерної рівності, запобігання та протидії насильству за ознакою статі покладається на спеціально уповноважений центральний орган виконавчої влади з питань забезпечення рівних прав та можливостей жінок і</w:t>
      </w:r>
      <w:r w:rsidR="00F76D35">
        <w:rPr>
          <w:rFonts w:ascii="Times New Roman" w:eastAsia="Times New Roman" w:hAnsi="Times New Roman"/>
          <w:sz w:val="28"/>
          <w:szCs w:val="28"/>
          <w:lang w:val="uk-UA" w:eastAsia="x-none"/>
        </w:rPr>
        <w:t xml:space="preserve"> чоловіків. </w:t>
      </w:r>
    </w:p>
    <w:p w:rsidR="007B3484" w:rsidRPr="007B3484" w:rsidRDefault="007B3484" w:rsidP="009B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val="uk-UA" w:eastAsia="x-none"/>
        </w:rPr>
      </w:pPr>
      <w:r w:rsidRPr="007B3484">
        <w:rPr>
          <w:rFonts w:ascii="Times New Roman" w:eastAsia="Times New Roman" w:hAnsi="Times New Roman"/>
          <w:sz w:val="28"/>
          <w:szCs w:val="28"/>
          <w:lang w:val="uk-UA" w:eastAsia="x-none"/>
        </w:rPr>
        <w:t>У вказаному Плані доцільно чітко розмежувати компетенцію міністерств, органів місцевого самоврядування, закладів охорони здоров’я, громадських організацій та інших структур, які будуть визначені відповідальними за цей напрям. Особливу увагу слід приділити досвіду Європейського Союзу у методах збору статистичних даних та їх обробки.</w:t>
      </w:r>
      <w:r w:rsidR="00F76D35">
        <w:rPr>
          <w:rFonts w:ascii="Times New Roman" w:eastAsia="Times New Roman" w:hAnsi="Times New Roman"/>
          <w:sz w:val="28"/>
          <w:szCs w:val="28"/>
          <w:lang w:val="uk-UA" w:eastAsia="x-none"/>
        </w:rPr>
        <w:t xml:space="preserve"> </w:t>
      </w:r>
      <w:r w:rsidRPr="007B3484">
        <w:rPr>
          <w:rFonts w:ascii="Times New Roman" w:eastAsia="Times New Roman" w:hAnsi="Times New Roman"/>
          <w:sz w:val="28"/>
          <w:szCs w:val="28"/>
          <w:lang w:val="uk-UA" w:eastAsia="x-none"/>
        </w:rPr>
        <w:t xml:space="preserve">Яскравим прикладом того, що Україна вже має досвід розробки та </w:t>
      </w:r>
      <w:r w:rsidRPr="007B3484">
        <w:rPr>
          <w:rFonts w:ascii="Times New Roman" w:eastAsia="Times New Roman" w:hAnsi="Times New Roman"/>
          <w:sz w:val="28"/>
          <w:szCs w:val="28"/>
          <w:lang w:val="uk-UA" w:eastAsia="x-none"/>
        </w:rPr>
        <w:lastRenderedPageBreak/>
        <w:t xml:space="preserve">запровадження таких планів, є </w:t>
      </w:r>
      <w:r w:rsidRPr="007B3484">
        <w:rPr>
          <w:rFonts w:ascii="Times New Roman" w:eastAsia="Times New Roman" w:hAnsi="Times New Roman"/>
          <w:bCs/>
          <w:sz w:val="28"/>
          <w:szCs w:val="28"/>
          <w:shd w:val="clear" w:color="auto" w:fill="FFFFFF"/>
          <w:lang w:val="uk-UA" w:eastAsia="x-none"/>
        </w:rPr>
        <w:t xml:space="preserve">Національний план дій з виконання резолюції Ради Безпеки ООН 1325 «Жінки, мир, безпека» на період до 2020 року, який не тільки націлений на </w:t>
      </w:r>
      <w:r w:rsidRPr="007B3484">
        <w:rPr>
          <w:rFonts w:ascii="Times New Roman" w:eastAsia="Times New Roman" w:hAnsi="Times New Roman"/>
          <w:sz w:val="28"/>
          <w:szCs w:val="28"/>
          <w:shd w:val="clear" w:color="auto" w:fill="FFFFFF"/>
          <w:lang w:val="uk-UA" w:eastAsia="x-none"/>
        </w:rPr>
        <w:t xml:space="preserve">захист прав жінок в умовах збройного конфлікту та забезпечення їх активної участі у миротворчих процесах, а й покликаний удосконалити систему захисту та реабілітації постраждалих від </w:t>
      </w:r>
      <w:proofErr w:type="spellStart"/>
      <w:r w:rsidRPr="007B3484">
        <w:rPr>
          <w:rFonts w:ascii="Times New Roman" w:eastAsia="Times New Roman" w:hAnsi="Times New Roman"/>
          <w:sz w:val="28"/>
          <w:szCs w:val="28"/>
          <w:shd w:val="clear" w:color="auto" w:fill="FFFFFF"/>
          <w:lang w:val="uk-UA" w:eastAsia="x-none"/>
        </w:rPr>
        <w:t>гендерно</w:t>
      </w:r>
      <w:proofErr w:type="spellEnd"/>
      <w:r w:rsidRPr="007B3484">
        <w:rPr>
          <w:rFonts w:ascii="Times New Roman" w:eastAsia="Times New Roman" w:hAnsi="Times New Roman"/>
          <w:sz w:val="28"/>
          <w:szCs w:val="28"/>
          <w:shd w:val="clear" w:color="auto" w:fill="FFFFFF"/>
          <w:lang w:val="uk-UA" w:eastAsia="x-none"/>
        </w:rPr>
        <w:t xml:space="preserve"> зумовленого насильства</w:t>
      </w:r>
      <w:r w:rsidRPr="007B3484">
        <w:rPr>
          <w:rFonts w:ascii="Times New Roman" w:eastAsia="Times New Roman" w:hAnsi="Times New Roman"/>
          <w:iCs/>
          <w:sz w:val="28"/>
          <w:szCs w:val="28"/>
          <w:lang w:val="uk-UA" w:eastAsia="x-none"/>
        </w:rPr>
        <w:t>.</w:t>
      </w:r>
      <w:r w:rsidRPr="007B3484">
        <w:rPr>
          <w:rFonts w:ascii="Times New Roman" w:eastAsia="Times New Roman" w:hAnsi="Times New Roman"/>
          <w:i/>
          <w:iCs/>
          <w:sz w:val="28"/>
          <w:szCs w:val="28"/>
          <w:lang w:val="uk-UA" w:eastAsia="x-none"/>
        </w:rPr>
        <w:t xml:space="preserve"> </w:t>
      </w:r>
      <w:r w:rsidRPr="007B3484">
        <w:rPr>
          <w:rFonts w:ascii="Times New Roman" w:eastAsia="Times New Roman" w:hAnsi="Times New Roman"/>
          <w:iCs/>
          <w:sz w:val="28"/>
          <w:szCs w:val="28"/>
          <w:lang w:val="uk-UA" w:eastAsia="x-none"/>
        </w:rPr>
        <w:t xml:space="preserve">Запропонований автором Національний план дій </w:t>
      </w:r>
      <w:r w:rsidRPr="007B3484">
        <w:rPr>
          <w:rFonts w:ascii="Times New Roman" w:eastAsia="Times New Roman" w:hAnsi="Times New Roman"/>
          <w:sz w:val="28"/>
          <w:szCs w:val="28"/>
          <w:lang w:val="uk-UA" w:eastAsia="x-none"/>
        </w:rPr>
        <w:t xml:space="preserve">щодо боротьби з насильством, заснованим на </w:t>
      </w:r>
      <w:proofErr w:type="spellStart"/>
      <w:r w:rsidRPr="007B3484">
        <w:rPr>
          <w:rFonts w:ascii="Times New Roman" w:eastAsia="Times New Roman" w:hAnsi="Times New Roman"/>
          <w:sz w:val="28"/>
          <w:szCs w:val="28"/>
          <w:lang w:val="uk-UA" w:eastAsia="x-none"/>
        </w:rPr>
        <w:t>гендері</w:t>
      </w:r>
      <w:proofErr w:type="spellEnd"/>
      <w:r w:rsidRPr="007B3484">
        <w:rPr>
          <w:rFonts w:ascii="Times New Roman" w:eastAsia="Times New Roman" w:hAnsi="Times New Roman"/>
          <w:sz w:val="28"/>
          <w:szCs w:val="28"/>
          <w:lang w:val="uk-UA" w:eastAsia="x-none"/>
        </w:rPr>
        <w:t>, покликаний  запровадити комплекс дій та заходів, спрямованих на зменшення випадків вчинення гендерного насилля, не лише під час збройних конфліктів, а й у повсякденному житті.</w:t>
      </w:r>
    </w:p>
    <w:p w:rsidR="00F76D35" w:rsidRDefault="007B3484" w:rsidP="009B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val="uk-UA" w:eastAsia="x-none"/>
        </w:rPr>
      </w:pPr>
      <w:r w:rsidRPr="007B3484">
        <w:rPr>
          <w:rFonts w:ascii="Times New Roman" w:eastAsia="Times New Roman" w:hAnsi="Times New Roman"/>
          <w:sz w:val="28"/>
          <w:szCs w:val="28"/>
          <w:lang w:val="uk-UA" w:eastAsia="x-none"/>
        </w:rPr>
        <w:t xml:space="preserve">Важливим завданням кожної країни є запровадження національної антикризової програми боротьби з насильством, заснованим на </w:t>
      </w:r>
      <w:proofErr w:type="spellStart"/>
      <w:r w:rsidRPr="007B3484">
        <w:rPr>
          <w:rFonts w:ascii="Times New Roman" w:eastAsia="Times New Roman" w:hAnsi="Times New Roman"/>
          <w:sz w:val="28"/>
          <w:szCs w:val="28"/>
          <w:lang w:val="uk-UA" w:eastAsia="x-none"/>
        </w:rPr>
        <w:t>гендері</w:t>
      </w:r>
      <w:proofErr w:type="spellEnd"/>
      <w:r w:rsidRPr="007B3484">
        <w:rPr>
          <w:rFonts w:ascii="Times New Roman" w:eastAsia="Times New Roman" w:hAnsi="Times New Roman"/>
          <w:sz w:val="28"/>
          <w:szCs w:val="28"/>
          <w:lang w:val="uk-UA" w:eastAsia="x-none"/>
        </w:rPr>
        <w:t xml:space="preserve">. Метою такої програми є тримання на контролі всіх нюансів перебігу кризи та вчасна реакція на зміну умов. Залежно від виду (форми) </w:t>
      </w:r>
      <w:proofErr w:type="spellStart"/>
      <w:r w:rsidRPr="007B3484">
        <w:rPr>
          <w:rFonts w:ascii="Times New Roman" w:eastAsia="Times New Roman" w:hAnsi="Times New Roman"/>
          <w:sz w:val="28"/>
          <w:szCs w:val="28"/>
          <w:lang w:val="uk-UA" w:eastAsia="x-none"/>
        </w:rPr>
        <w:t>гендерно</w:t>
      </w:r>
      <w:proofErr w:type="spellEnd"/>
      <w:r w:rsidRPr="007B3484">
        <w:rPr>
          <w:rFonts w:ascii="Times New Roman" w:eastAsia="Times New Roman" w:hAnsi="Times New Roman"/>
          <w:sz w:val="28"/>
          <w:szCs w:val="28"/>
          <w:lang w:val="uk-UA" w:eastAsia="x-none"/>
        </w:rPr>
        <w:t xml:space="preserve"> обумовленого насильства та від масштабів або специфіки його визначають антикризові заходи, підвищують концентрацію на ключових завданнях, впроваджують зміни задля нівелювання подачі неадекватної інформації суспільству та викоренення насилля, заснованого на </w:t>
      </w:r>
      <w:proofErr w:type="spellStart"/>
      <w:r w:rsidRPr="007B3484">
        <w:rPr>
          <w:rFonts w:ascii="Times New Roman" w:eastAsia="Times New Roman" w:hAnsi="Times New Roman"/>
          <w:sz w:val="28"/>
          <w:szCs w:val="28"/>
          <w:lang w:val="uk-UA" w:eastAsia="x-none"/>
        </w:rPr>
        <w:t>гендері</w:t>
      </w:r>
      <w:proofErr w:type="spellEnd"/>
      <w:r w:rsidRPr="007B3484">
        <w:rPr>
          <w:rFonts w:ascii="Times New Roman" w:eastAsia="Times New Roman" w:hAnsi="Times New Roman"/>
          <w:sz w:val="28"/>
          <w:szCs w:val="28"/>
          <w:lang w:val="uk-UA" w:eastAsia="x-none"/>
        </w:rPr>
        <w:t>.</w:t>
      </w:r>
    </w:p>
    <w:p w:rsidR="00624DF4" w:rsidRDefault="00624DF4" w:rsidP="009B1EBB">
      <w:pPr>
        <w:spacing w:after="0"/>
        <w:jc w:val="center"/>
        <w:rPr>
          <w:rFonts w:ascii="Times New Roman" w:eastAsia="Times New Roman" w:hAnsi="Times New Roman"/>
          <w:b/>
          <w:sz w:val="28"/>
          <w:szCs w:val="28"/>
          <w:lang w:val="uk-UA" w:eastAsia="x-none"/>
        </w:rPr>
      </w:pPr>
    </w:p>
    <w:p w:rsidR="00F76D35" w:rsidRPr="00F76D35" w:rsidRDefault="00F76D35" w:rsidP="009B1EBB">
      <w:pPr>
        <w:spacing w:after="0"/>
        <w:jc w:val="center"/>
        <w:rPr>
          <w:rFonts w:ascii="Times New Roman" w:eastAsia="Times New Roman" w:hAnsi="Times New Roman"/>
          <w:b/>
          <w:sz w:val="28"/>
          <w:szCs w:val="28"/>
          <w:lang w:val="uk-UA" w:eastAsia="x-none"/>
        </w:rPr>
      </w:pPr>
      <w:r w:rsidRPr="00F76D35">
        <w:rPr>
          <w:rFonts w:ascii="Times New Roman" w:eastAsia="Times New Roman" w:hAnsi="Times New Roman"/>
          <w:b/>
          <w:sz w:val="28"/>
          <w:szCs w:val="28"/>
          <w:lang w:val="en-US" w:eastAsia="x-none"/>
        </w:rPr>
        <w:t>IV</w:t>
      </w:r>
      <w:r w:rsidRPr="00F76D35">
        <w:rPr>
          <w:rFonts w:ascii="Times New Roman" w:eastAsia="Times New Roman" w:hAnsi="Times New Roman"/>
          <w:b/>
          <w:sz w:val="28"/>
          <w:szCs w:val="28"/>
          <w:lang w:eastAsia="x-none"/>
        </w:rPr>
        <w:t xml:space="preserve">. </w:t>
      </w:r>
      <w:r w:rsidRPr="00F76D35">
        <w:rPr>
          <w:rFonts w:ascii="Times New Roman" w:eastAsia="Times New Roman" w:hAnsi="Times New Roman"/>
          <w:b/>
          <w:bCs/>
          <w:sz w:val="28"/>
          <w:szCs w:val="28"/>
          <w:lang w:val="uk-UA" w:eastAsia="x-none"/>
        </w:rPr>
        <w:t>ПРАКТИКА ЄВРОПЕЙСЬКОГО СУДУ З ПРАВ ЛЮДИНИ У СФЕРІ ЗАБЕЗПЕЧЕННЯ ПРИНЦИПУ ГЕНДЕРНОЇ РІВНОСТІ</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 xml:space="preserve">В умовах зміцнення курсу на європейську інтеграцію, модернізація українського суспільства вимагає виходу за межі суто національного права і законодавства. Так, крім міжнародно-правових норм, Україна визнала норми європейського прецедентного права, а саме практику Європейського суду з прав людини. Згідно з міжнародними стандартами у сфері прав людини, фактично саме суд є єдиним органом, до повноважень якого входить ефективне відновлення прав людини та їх захист від дискримінації. В демократичній державі серед інститутів, що є гарантією й одночасно механізмом захисту прав і свобод людини й громадянина, значну роль </w:t>
      </w:r>
      <w:r w:rsidRPr="00F76D35">
        <w:rPr>
          <w:rFonts w:ascii="Times New Roman" w:hAnsi="Times New Roman"/>
          <w:sz w:val="28"/>
          <w:szCs w:val="28"/>
          <w:lang w:val="uk-UA"/>
        </w:rPr>
        <w:lastRenderedPageBreak/>
        <w:t>відіграє правосуддя. Так, у встановленні реальної гендерної рівності в Україні визначальну роль покладають на судову гілку влади.</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Слід акцентувати, що, ратифікувавши Конвенцію про захист прав людини і основоположних свобод (далі – ЄКПЛ або Конвенція) та протоколи до неї, наша держава зобов’язалася передусім гарантувати кожному, хто перебуває під її юрисдикцією, права і свободи, визначені у ній, зокрема у контексті заборони дискримінації за будь-якою ознакою, що включає в тому числі стать. Визнання обов’язкової юрисдикції ЄСПЛ у всіх питаннях, що стосуються тлумачення і застосування Конвенції, у тому числі щодо гендерної рівності, актуалізує вивчення практики ЄСПЛ та її застосування з урахуванням чинного законодавства України, оскільки саме в рішеннях ЄСПЛ відображається зміст положень про заборону дискримінації за ознакою статі.</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 xml:space="preserve">ЄСПЛ у більшості випадках розглядає справи, в яких проти своєї держави виступають саме жінки, тому що вона не захищає їхні права. У контексті цього претензія позивачки полягає в тому, що влада не вживає заходів, необхідних для захисту її прав і здоров’я. При застосуванні норм ЄСПЛ судді повинні брати до уваги практику як щодо України, так і сформовану в ході розгляду скарг, поданих проти інших держав. Такий підхід допоможе уникнути Україні вчинення нових порушень Конвенції. З огляду на це застосування прецедентної практики ЄСПЛ з прав </w:t>
      </w:r>
      <w:r w:rsidR="00290C76">
        <w:rPr>
          <w:rFonts w:ascii="Times New Roman" w:hAnsi="Times New Roman"/>
          <w:sz w:val="28"/>
          <w:szCs w:val="28"/>
          <w:lang w:val="uk-UA"/>
        </w:rPr>
        <w:t xml:space="preserve">людини у правовому полі України, </w:t>
      </w:r>
      <w:r w:rsidRPr="00F76D35">
        <w:rPr>
          <w:rFonts w:ascii="Times New Roman" w:hAnsi="Times New Roman"/>
          <w:sz w:val="28"/>
          <w:szCs w:val="28"/>
          <w:lang w:val="uk-UA"/>
        </w:rPr>
        <w:t>по-перше, сприятиме зближенню національної правової системи із європейськими стандартами прав людини у контексті гендерної рівності, по-друге, забезпечить захист прав та свобод людини у внутрішньодержавних відносинах, що позитивно вплине на реалізацію задекларованих принципів рівності прав жінок і чоловіків.</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 xml:space="preserve">Зобов’язання України із забезпечення гендерної рівності передбачено в Угоді про асоціацію з ЄС. Угода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(Закон України про </w:t>
      </w:r>
      <w:r w:rsidRPr="00F76D35">
        <w:rPr>
          <w:rFonts w:ascii="Times New Roman" w:hAnsi="Times New Roman"/>
          <w:sz w:val="28"/>
          <w:szCs w:val="28"/>
          <w:lang w:val="uk-UA"/>
        </w:rPr>
        <w:lastRenderedPageBreak/>
        <w:t xml:space="preserve">ратифікацію від 16 вересня 2014 р. № 1678-VII), в главі 21 «Співробітництво у галузі зайнятості, соціальної політики та рівних можливостей» вказує на зобов’язання Сторін посилити діалог та співробітництво щодо забезпечення гідної праці, політики зайнятості, безпечних та здорових умов праці, соціального діалогу, соціального захисту, соціального залучення, гендерної рівності та недискримінації (ст. 419). Шлях до досягнення цієї мети – забезпечення гендерної рівності у сфері зайнятості, освіти та навчання, економічної та суспільної діяльності, а також у процесі прийняття рішень. Відповідний додаток до Угоди наводить перелік ключових Директив ЄС у сфері забезпечення недискримінації і гендерної рівності. Серед них: </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 Директива Ради 79/7/ЄЕС від 19 грудня 1978 р. про поступову реалізацію принципу рівності чоловіків і жінок у</w:t>
      </w:r>
      <w:r w:rsidR="00290C76">
        <w:rPr>
          <w:rFonts w:ascii="Times New Roman" w:hAnsi="Times New Roman"/>
          <w:sz w:val="28"/>
          <w:szCs w:val="28"/>
          <w:lang w:val="uk-UA"/>
        </w:rPr>
        <w:t xml:space="preserve"> сфері соціального забезпечення;</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 Директива Ради 92/85/ЄЕС від 19 жовтня 1992 р. про вжиття заходів з поліпшення безпеки та охорони здоров’я на виробництві вагітних працівниць, працівниць, які нещодавно народили або годують</w:t>
      </w:r>
      <w:r w:rsidR="00290C76">
        <w:rPr>
          <w:rFonts w:ascii="Times New Roman" w:hAnsi="Times New Roman"/>
          <w:sz w:val="28"/>
          <w:szCs w:val="28"/>
          <w:lang w:val="uk-UA"/>
        </w:rPr>
        <w:t>;</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 xml:space="preserve">– Директива Ради 96/34/ЄС від 3 червня 1996 р. про рамкову </w:t>
      </w:r>
      <w:r>
        <w:rPr>
          <w:rFonts w:ascii="Times New Roman" w:hAnsi="Times New Roman"/>
          <w:sz w:val="28"/>
          <w:szCs w:val="28"/>
          <w:lang w:val="uk-UA"/>
        </w:rPr>
        <w:t>угоду щодо декретної відпустки</w:t>
      </w:r>
      <w:r w:rsidR="00290C76">
        <w:rPr>
          <w:rFonts w:ascii="Times New Roman" w:hAnsi="Times New Roman"/>
          <w:sz w:val="28"/>
          <w:szCs w:val="28"/>
          <w:lang w:val="uk-UA"/>
        </w:rPr>
        <w:t>;</w:t>
      </w:r>
      <w:r>
        <w:rPr>
          <w:rFonts w:ascii="Times New Roman" w:hAnsi="Times New Roman"/>
          <w:sz w:val="28"/>
          <w:szCs w:val="28"/>
          <w:lang w:val="uk-UA"/>
        </w:rPr>
        <w:t xml:space="preserve"> </w:t>
      </w:r>
      <w:r w:rsidRPr="00F76D35">
        <w:rPr>
          <w:rFonts w:ascii="Times New Roman" w:hAnsi="Times New Roman"/>
          <w:sz w:val="28"/>
          <w:szCs w:val="28"/>
          <w:lang w:val="uk-UA"/>
        </w:rPr>
        <w:t xml:space="preserve"> </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 Директива Ради 2000/78/ЄC від 27 листопада 2000 р. про встановлення рамкових стандартів рівноправного поводження у сфері зайнятості і професійної діяльності</w:t>
      </w:r>
      <w:r w:rsidR="00290C76">
        <w:rPr>
          <w:rFonts w:ascii="Times New Roman" w:hAnsi="Times New Roman"/>
          <w:sz w:val="28"/>
          <w:szCs w:val="28"/>
          <w:lang w:val="uk-UA"/>
        </w:rPr>
        <w:t>;</w:t>
      </w:r>
      <w:r w:rsidRPr="00F76D35">
        <w:rPr>
          <w:rFonts w:ascii="Times New Roman" w:hAnsi="Times New Roman"/>
          <w:sz w:val="28"/>
          <w:szCs w:val="28"/>
          <w:lang w:val="uk-UA"/>
        </w:rPr>
        <w:t xml:space="preserve"> </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 Директива Ради 2004/113/ЄС від 13 грудня 2004 р. про імплементацію принципу рівності чоловіків і жінок у доступі до товарів і послуг</w:t>
      </w:r>
      <w:r w:rsidR="00290C76">
        <w:rPr>
          <w:rFonts w:ascii="Times New Roman" w:hAnsi="Times New Roman"/>
          <w:sz w:val="28"/>
          <w:szCs w:val="28"/>
          <w:lang w:val="uk-UA"/>
        </w:rPr>
        <w:t>;</w:t>
      </w:r>
      <w:r w:rsidRPr="00F76D35">
        <w:rPr>
          <w:rFonts w:ascii="Times New Roman" w:hAnsi="Times New Roman"/>
          <w:sz w:val="28"/>
          <w:szCs w:val="28"/>
          <w:lang w:val="uk-UA"/>
        </w:rPr>
        <w:t xml:space="preserve"> </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 Директива 2006/54/ЄС Європейського Парламенту Ради від 5 липня 2006 р. про реалізацію принципу рівних можливостей і рівноправного ставлення щодо чоловіків та жінок у питаннях працевлаштування і зайнятості</w:t>
      </w:r>
      <w:r w:rsidR="00290C76">
        <w:rPr>
          <w:rFonts w:ascii="Times New Roman" w:hAnsi="Times New Roman"/>
          <w:sz w:val="28"/>
          <w:szCs w:val="28"/>
          <w:lang w:val="uk-UA"/>
        </w:rPr>
        <w:t>;</w:t>
      </w:r>
      <w:r w:rsidRPr="00F76D35">
        <w:rPr>
          <w:rFonts w:ascii="Times New Roman" w:hAnsi="Times New Roman"/>
          <w:sz w:val="28"/>
          <w:szCs w:val="28"/>
          <w:lang w:val="uk-UA"/>
        </w:rPr>
        <w:t xml:space="preserve"> </w:t>
      </w:r>
    </w:p>
    <w:p w:rsidR="00F76D35" w:rsidRPr="00F76D35" w:rsidRDefault="00F76D35" w:rsidP="009B1EBB">
      <w:pPr>
        <w:spacing w:after="0" w:line="360" w:lineRule="auto"/>
        <w:ind w:firstLine="709"/>
        <w:jc w:val="both"/>
        <w:rPr>
          <w:rFonts w:ascii="Times New Roman" w:hAnsi="Times New Roman"/>
          <w:sz w:val="28"/>
          <w:szCs w:val="28"/>
        </w:rPr>
      </w:pPr>
      <w:r w:rsidRPr="00F76D35">
        <w:rPr>
          <w:rFonts w:ascii="Times New Roman" w:hAnsi="Times New Roman"/>
          <w:sz w:val="28"/>
          <w:szCs w:val="28"/>
          <w:lang w:val="uk-UA"/>
        </w:rPr>
        <w:t xml:space="preserve">– Директива 2010/41/ЄС Європейського Парламенту та Ради від 7 липня 2010 р. про застосування принципу рівного підходу до чоловіків та жінок, які є </w:t>
      </w:r>
      <w:proofErr w:type="spellStart"/>
      <w:r w:rsidRPr="00F76D35">
        <w:rPr>
          <w:rFonts w:ascii="Times New Roman" w:hAnsi="Times New Roman"/>
          <w:sz w:val="28"/>
          <w:szCs w:val="28"/>
          <w:lang w:val="uk-UA"/>
        </w:rPr>
        <w:t>самозайнятими</w:t>
      </w:r>
      <w:proofErr w:type="spellEnd"/>
      <w:r w:rsidRPr="00F76D35">
        <w:rPr>
          <w:rFonts w:ascii="Times New Roman" w:hAnsi="Times New Roman"/>
          <w:sz w:val="28"/>
          <w:szCs w:val="28"/>
          <w:lang w:val="uk-UA"/>
        </w:rPr>
        <w:t xml:space="preserve"> особами</w:t>
      </w:r>
      <w:r w:rsidR="00290C76">
        <w:rPr>
          <w:rFonts w:ascii="Times New Roman" w:hAnsi="Times New Roman"/>
          <w:sz w:val="28"/>
          <w:szCs w:val="28"/>
          <w:lang w:val="uk-UA"/>
        </w:rPr>
        <w:t>;</w:t>
      </w:r>
      <w:r w:rsidRPr="00F76D35">
        <w:rPr>
          <w:rFonts w:ascii="Times New Roman" w:hAnsi="Times New Roman"/>
          <w:sz w:val="28"/>
          <w:szCs w:val="28"/>
          <w:lang w:val="uk-UA"/>
        </w:rPr>
        <w:t xml:space="preserve"> </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lastRenderedPageBreak/>
        <w:t xml:space="preserve">Слід звернути увагу на те, що вищезазначений перелік Директив має загальний характер. Необхідно враховувати факт, що в Україні Директиви ЄС отримують реалізацію в практиці Європейського суду з прав людини, яка має прецедентний характер. </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Світовий економічний форум (</w:t>
      </w:r>
      <w:proofErr w:type="spellStart"/>
      <w:r w:rsidRPr="00F76D35">
        <w:rPr>
          <w:rFonts w:ascii="Times New Roman" w:hAnsi="Times New Roman"/>
          <w:sz w:val="28"/>
          <w:szCs w:val="28"/>
          <w:lang w:val="uk-UA"/>
        </w:rPr>
        <w:t>World</w:t>
      </w:r>
      <w:proofErr w:type="spellEnd"/>
      <w:r w:rsidRPr="00F76D35">
        <w:rPr>
          <w:rFonts w:ascii="Times New Roman" w:hAnsi="Times New Roman"/>
          <w:sz w:val="28"/>
          <w:szCs w:val="28"/>
          <w:lang w:val="uk-UA"/>
        </w:rPr>
        <w:t xml:space="preserve"> </w:t>
      </w:r>
      <w:proofErr w:type="spellStart"/>
      <w:r w:rsidRPr="00F76D35">
        <w:rPr>
          <w:rFonts w:ascii="Times New Roman" w:hAnsi="Times New Roman"/>
          <w:sz w:val="28"/>
          <w:szCs w:val="28"/>
          <w:lang w:val="uk-UA"/>
        </w:rPr>
        <w:t>Economic</w:t>
      </w:r>
      <w:proofErr w:type="spellEnd"/>
      <w:r w:rsidRPr="00F76D35">
        <w:rPr>
          <w:rFonts w:ascii="Times New Roman" w:hAnsi="Times New Roman"/>
          <w:sz w:val="28"/>
          <w:szCs w:val="28"/>
          <w:lang w:val="uk-UA"/>
        </w:rPr>
        <w:t xml:space="preserve"> </w:t>
      </w:r>
      <w:proofErr w:type="spellStart"/>
      <w:r w:rsidRPr="00F76D35">
        <w:rPr>
          <w:rFonts w:ascii="Times New Roman" w:hAnsi="Times New Roman"/>
          <w:sz w:val="28"/>
          <w:szCs w:val="28"/>
          <w:lang w:val="uk-UA"/>
        </w:rPr>
        <w:t>Forum</w:t>
      </w:r>
      <w:proofErr w:type="spellEnd"/>
      <w:r w:rsidRPr="00F76D35">
        <w:rPr>
          <w:rFonts w:ascii="Times New Roman" w:hAnsi="Times New Roman"/>
          <w:sz w:val="28"/>
          <w:szCs w:val="28"/>
          <w:lang w:val="uk-UA"/>
        </w:rPr>
        <w:t>) опублікував щорічне глобальне дослідження – Індекс гендерного розвитку 2017 (</w:t>
      </w:r>
      <w:proofErr w:type="spellStart"/>
      <w:r w:rsidRPr="00F76D35">
        <w:rPr>
          <w:rFonts w:ascii="Times New Roman" w:hAnsi="Times New Roman"/>
          <w:sz w:val="28"/>
          <w:szCs w:val="28"/>
          <w:lang w:val="uk-UA"/>
        </w:rPr>
        <w:t>The</w:t>
      </w:r>
      <w:proofErr w:type="spellEnd"/>
      <w:r w:rsidRPr="00F76D35">
        <w:rPr>
          <w:rFonts w:ascii="Times New Roman" w:hAnsi="Times New Roman"/>
          <w:sz w:val="28"/>
          <w:szCs w:val="28"/>
          <w:lang w:val="uk-UA"/>
        </w:rPr>
        <w:t xml:space="preserve"> </w:t>
      </w:r>
      <w:proofErr w:type="spellStart"/>
      <w:r w:rsidRPr="00F76D35">
        <w:rPr>
          <w:rFonts w:ascii="Times New Roman" w:hAnsi="Times New Roman"/>
          <w:sz w:val="28"/>
          <w:szCs w:val="28"/>
          <w:lang w:val="uk-UA"/>
        </w:rPr>
        <w:t>Global</w:t>
      </w:r>
      <w:proofErr w:type="spellEnd"/>
      <w:r w:rsidRPr="00F76D35">
        <w:rPr>
          <w:rFonts w:ascii="Times New Roman" w:hAnsi="Times New Roman"/>
          <w:sz w:val="28"/>
          <w:szCs w:val="28"/>
          <w:lang w:val="uk-UA"/>
        </w:rPr>
        <w:t xml:space="preserve"> </w:t>
      </w:r>
      <w:proofErr w:type="spellStart"/>
      <w:r w:rsidRPr="00F76D35">
        <w:rPr>
          <w:rFonts w:ascii="Times New Roman" w:hAnsi="Times New Roman"/>
          <w:sz w:val="28"/>
          <w:szCs w:val="28"/>
          <w:lang w:val="uk-UA"/>
        </w:rPr>
        <w:t>Gender</w:t>
      </w:r>
      <w:proofErr w:type="spellEnd"/>
      <w:r w:rsidRPr="00F76D35">
        <w:rPr>
          <w:rFonts w:ascii="Times New Roman" w:hAnsi="Times New Roman"/>
          <w:sz w:val="28"/>
          <w:szCs w:val="28"/>
          <w:lang w:val="uk-UA"/>
        </w:rPr>
        <w:t xml:space="preserve"> </w:t>
      </w:r>
      <w:proofErr w:type="spellStart"/>
      <w:r w:rsidRPr="00F76D35">
        <w:rPr>
          <w:rFonts w:ascii="Times New Roman" w:hAnsi="Times New Roman"/>
          <w:sz w:val="28"/>
          <w:szCs w:val="28"/>
          <w:lang w:val="uk-UA"/>
        </w:rPr>
        <w:t>Gap</w:t>
      </w:r>
      <w:proofErr w:type="spellEnd"/>
      <w:r w:rsidRPr="00F76D35">
        <w:rPr>
          <w:rFonts w:ascii="Times New Roman" w:hAnsi="Times New Roman"/>
          <w:sz w:val="28"/>
          <w:szCs w:val="28"/>
          <w:lang w:val="uk-UA"/>
        </w:rPr>
        <w:t xml:space="preserve"> </w:t>
      </w:r>
      <w:proofErr w:type="spellStart"/>
      <w:r w:rsidRPr="00F76D35">
        <w:rPr>
          <w:rFonts w:ascii="Times New Roman" w:hAnsi="Times New Roman"/>
          <w:sz w:val="28"/>
          <w:szCs w:val="28"/>
          <w:lang w:val="uk-UA"/>
        </w:rPr>
        <w:t>Index</w:t>
      </w:r>
      <w:proofErr w:type="spellEnd"/>
      <w:r w:rsidRPr="00F76D35">
        <w:rPr>
          <w:rFonts w:ascii="Times New Roman" w:hAnsi="Times New Roman"/>
          <w:sz w:val="28"/>
          <w:szCs w:val="28"/>
          <w:lang w:val="uk-UA"/>
        </w:rPr>
        <w:t xml:space="preserve"> 2017) із супроводжуючим його рейтингом 144 країн світу. У дослідженні вимірюється гендерна нерівність за різними показниками у чотирьох основних сферах: економічна участь та кар’єрні можливості; рівень освіти; здоров’я і тривалість життя; політичні права та можливості. У поточному році, як відзначається вперше за всю історію підрахунку цього Індексу (починаючи з 2006 року) у світі зафіксовано погіршення ситуації із гендерною нерівністю. За таких темпів прогресу, для усунення загальної глобальної нерівності між чоловіками та жінками, потрібно буде 100 років, проти 83-х у минулому році. Найбільший розрив між жінками та чоловіками залишається у сфері економіки, подолання якого, при поточних темпах, потребуватиме 217 років. </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До першої десятки країн за індексом гендерної рівності увійшли Ісландія, Норвегія, Фінляндія, Руанда, Швеція, Нікарагуа, Словенія, Ірландія, Нова Зеландія, Філіппіни. Україна зайняла 61 місце із 144-х країн. Порівняно з попереднім роком загальний рейтинг України покращився на 8 позицій (у 2016 р. Україна зайняла 69 місце також серед 144 країн). Незважаючи на незначний цьогорічний прогрес у гендерному співвідношенні у сфері політичних прав та можливостей, Україна все ще займає найгірші позиції.</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Водночас слід звернути увагу на результати проведеного моніторингу Харківською обласною фундацією «Громадська Альтернатива», який свідчить, що у відібраних для аналізу справах низьким є рівень посилань на міжнародні стандарти. Так, проаналізувавши 336 рішень у 89,1 % випадках посилання на міжнародні акти відсутні.</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lastRenderedPageBreak/>
        <w:t xml:space="preserve">Найбільше судді звертаються до Конвенції про захист прав людини і основоположних свобод: 22 рішення мають відповідне посилання. Також розповсюджені згадування про Конвенцію ООН про права дитини (12 справ) та Конвенцію ООН про ліквідацію всіх форм дискримінації щодо жінок (11 рішень). У 7 рішеннях здійснено посилання на Міжнародний пакт про громадянські і політичні права. По 1 рішенню містяться посилання на Європейську соціальну Хартію та Директиви ЄС. На конвенції Ради Європи (Конвенцію Ради Європи про заходи щодо протидії торгівлі людьми та Конвенцію Ради Європи про запобігання насильству стосовно жінок і домашньому насильству та боротьбу із цими явищами) посилань немає. Водночас же час у 9-ти випадках використовуються інші міжнародні документи у сфері прав людини, зокрема конвенції Міжнародної організації праці, Конвенція ООН про боротьбу із транснаціональною злочинністю та Конвенція ООН про боротьбу з торгівлею людьми і з експлуатацією проституції третіми особами, більшість з яких має рекомендаційний характер та навіть є застарілими. </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Що стосується суддів, які взяли участь у проведеному в межах моніторингу опитуванні, то вони на високому рівні ознайомлені із міжнародними документами з прав людини та гендерної рівності. Так</w:t>
      </w:r>
      <w:r w:rsidR="004D46E3">
        <w:rPr>
          <w:rFonts w:ascii="Times New Roman" w:hAnsi="Times New Roman"/>
          <w:sz w:val="28"/>
          <w:szCs w:val="28"/>
          <w:lang w:val="uk-UA"/>
        </w:rPr>
        <w:t>,</w:t>
      </w:r>
      <w:r w:rsidRPr="00F76D35">
        <w:rPr>
          <w:rFonts w:ascii="Times New Roman" w:hAnsi="Times New Roman"/>
          <w:sz w:val="28"/>
          <w:szCs w:val="28"/>
          <w:lang w:val="uk-UA"/>
        </w:rPr>
        <w:t xml:space="preserve"> судді зазначили, що вони знайомі з текстами Конвенції про захист прав людини та основоположних свобод, Конвенції ООН про права дитини, Конвенції Ради Європи про заходи щодо протидії торгівлі людьми, Конвенції МОП № 156 «Про рівне ставлення і рівні можливості для працюючих чоловіків і жінок: працівники із сімейними обов’язками» тощо.</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 xml:space="preserve">Проте факт наявності у судовому рішенні посилання на міжнародний документ у сфері захисту, наприклад, принципу гендерної рівності, не є свідченням правильного розуміння відображених у ньому стандартів і правильного його застосування до конкретних обставин справи. Так, в окремих проаналізованих під час моніторингу судових рішеннях судом було використано посилання на Конвенцію ООН про ліквідацію всіх форм </w:t>
      </w:r>
      <w:r w:rsidRPr="00F76D35">
        <w:rPr>
          <w:rFonts w:ascii="Times New Roman" w:hAnsi="Times New Roman"/>
          <w:sz w:val="28"/>
          <w:szCs w:val="28"/>
          <w:lang w:val="uk-UA"/>
        </w:rPr>
        <w:lastRenderedPageBreak/>
        <w:t xml:space="preserve">дискримінації щодо жінок (усього таких судових актів в Єдиному державному реєстрі судових рішень 271). Однак експертами Проекту зафіксовано, що в низці рішень такі посилання виявилися зайвими, або навіть некоректними й такими, що не відповідають обставинам справи. Це створює враження штучності подібних посилань. </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 xml:space="preserve">Такий стан речей, на перший погляд, начебто не завдає шкоди. І навіть більше: можна було б говорити про те, що самим фактом згадування такого міжнародного документа, як Конвенція ООН про ліквідацію всіх форм дискримінації щодо жінок, </w:t>
      </w:r>
      <w:r w:rsidR="004D46E3">
        <w:rPr>
          <w:rFonts w:ascii="Times New Roman" w:hAnsi="Times New Roman"/>
          <w:sz w:val="28"/>
          <w:szCs w:val="28"/>
          <w:lang w:val="uk-UA"/>
        </w:rPr>
        <w:t>у</w:t>
      </w:r>
      <w:r w:rsidRPr="00F76D35">
        <w:rPr>
          <w:rFonts w:ascii="Times New Roman" w:hAnsi="Times New Roman"/>
          <w:sz w:val="28"/>
          <w:szCs w:val="28"/>
          <w:lang w:val="uk-UA"/>
        </w:rPr>
        <w:t xml:space="preserve"> тексті свого рішення суд формує позитивне ставлення до системи здійснення правосуддя, виказує свою повагу до принципу ґендерної рівності. Утім такої мети не можна досягти, якщо названий принцип постає перед очима учасників судового розгляду лише як формула, яка не впливає на вирішення справи по суті і згадування якої стає лише певним звичним ритуалом, даниною моді. </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 xml:space="preserve">Судові рішення Європейського суду з прав людини щодо спорів, пов’язаних із гендерною дискримінацією, пропонуємо поділити на наступні групи, а саме рішення з приводу: трудових спорів; сексуальних домагань; сімейного права; соціального і пенсійного забезпечення; адміністративних спорів; надання належної медичної допомоги; домашнього насильства та </w:t>
      </w:r>
      <w:proofErr w:type="spellStart"/>
      <w:r w:rsidRPr="00F76D35">
        <w:rPr>
          <w:rFonts w:ascii="Times New Roman" w:hAnsi="Times New Roman"/>
          <w:sz w:val="28"/>
          <w:szCs w:val="28"/>
          <w:lang w:val="uk-UA"/>
        </w:rPr>
        <w:t>гендерно</w:t>
      </w:r>
      <w:proofErr w:type="spellEnd"/>
      <w:r w:rsidRPr="00F76D35">
        <w:rPr>
          <w:rFonts w:ascii="Times New Roman" w:hAnsi="Times New Roman"/>
          <w:sz w:val="28"/>
          <w:szCs w:val="28"/>
          <w:lang w:val="uk-UA"/>
        </w:rPr>
        <w:t xml:space="preserve"> обумовленого насильства.</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Слід звернути увагу на те, що в механізмі реалізації принципу гендерної рівності одне з центральних місць займають рішення Європейського Суду з прав людини. Так, у справі «</w:t>
      </w:r>
      <w:proofErr w:type="spellStart"/>
      <w:r w:rsidRPr="00F76D35">
        <w:rPr>
          <w:rFonts w:ascii="Times New Roman" w:hAnsi="Times New Roman"/>
          <w:b/>
          <w:sz w:val="28"/>
          <w:szCs w:val="28"/>
          <w:lang w:val="uk-UA"/>
        </w:rPr>
        <w:t>Абдулазіз</w:t>
      </w:r>
      <w:proofErr w:type="spellEnd"/>
      <w:r w:rsidRPr="00F76D35">
        <w:rPr>
          <w:rFonts w:ascii="Times New Roman" w:hAnsi="Times New Roman"/>
          <w:b/>
          <w:sz w:val="28"/>
          <w:szCs w:val="28"/>
          <w:lang w:val="uk-UA"/>
        </w:rPr>
        <w:t xml:space="preserve">, </w:t>
      </w:r>
      <w:proofErr w:type="spellStart"/>
      <w:r w:rsidRPr="00F76D35">
        <w:rPr>
          <w:rFonts w:ascii="Times New Roman" w:hAnsi="Times New Roman"/>
          <w:b/>
          <w:sz w:val="28"/>
          <w:szCs w:val="28"/>
          <w:lang w:val="uk-UA"/>
        </w:rPr>
        <w:t>Кабалес</w:t>
      </w:r>
      <w:proofErr w:type="spellEnd"/>
      <w:r w:rsidRPr="00F76D35">
        <w:rPr>
          <w:rFonts w:ascii="Times New Roman" w:hAnsi="Times New Roman"/>
          <w:b/>
          <w:sz w:val="28"/>
          <w:szCs w:val="28"/>
          <w:lang w:val="uk-UA"/>
        </w:rPr>
        <w:t xml:space="preserve"> та </w:t>
      </w:r>
      <w:proofErr w:type="spellStart"/>
      <w:r w:rsidRPr="00F76D35">
        <w:rPr>
          <w:rFonts w:ascii="Times New Roman" w:hAnsi="Times New Roman"/>
          <w:b/>
          <w:sz w:val="28"/>
          <w:szCs w:val="28"/>
          <w:lang w:val="uk-UA"/>
        </w:rPr>
        <w:t>Балкандалі</w:t>
      </w:r>
      <w:proofErr w:type="spellEnd"/>
      <w:r w:rsidRPr="00F76D35">
        <w:rPr>
          <w:rFonts w:ascii="Times New Roman" w:hAnsi="Times New Roman"/>
          <w:b/>
          <w:sz w:val="28"/>
          <w:szCs w:val="28"/>
          <w:lang w:val="uk-UA"/>
        </w:rPr>
        <w:t xml:space="preserve"> проти Сполученого Королівства</w:t>
      </w:r>
      <w:r w:rsidRPr="00F76D35">
        <w:rPr>
          <w:rFonts w:ascii="Times New Roman" w:hAnsi="Times New Roman"/>
          <w:sz w:val="28"/>
          <w:szCs w:val="28"/>
          <w:lang w:val="uk-UA"/>
        </w:rPr>
        <w:t>» (</w:t>
      </w:r>
      <w:proofErr w:type="spellStart"/>
      <w:r w:rsidRPr="00F76D35">
        <w:rPr>
          <w:rFonts w:ascii="Times New Roman" w:hAnsi="Times New Roman"/>
          <w:sz w:val="28"/>
          <w:szCs w:val="28"/>
          <w:lang w:val="uk-UA"/>
        </w:rPr>
        <w:t>Abdulaziz</w:t>
      </w:r>
      <w:proofErr w:type="spellEnd"/>
      <w:r w:rsidRPr="00F76D35">
        <w:rPr>
          <w:rFonts w:ascii="Times New Roman" w:hAnsi="Times New Roman"/>
          <w:sz w:val="28"/>
          <w:szCs w:val="28"/>
          <w:lang w:val="uk-UA"/>
        </w:rPr>
        <w:t xml:space="preserve">, </w:t>
      </w:r>
      <w:proofErr w:type="spellStart"/>
      <w:r w:rsidRPr="00F76D35">
        <w:rPr>
          <w:rFonts w:ascii="Times New Roman" w:hAnsi="Times New Roman"/>
          <w:sz w:val="28"/>
          <w:szCs w:val="28"/>
          <w:lang w:val="uk-UA"/>
        </w:rPr>
        <w:t>Cabales</w:t>
      </w:r>
      <w:proofErr w:type="spellEnd"/>
      <w:r w:rsidRPr="00F76D35">
        <w:rPr>
          <w:rFonts w:ascii="Times New Roman" w:hAnsi="Times New Roman"/>
          <w:sz w:val="28"/>
          <w:szCs w:val="28"/>
          <w:lang w:val="uk-UA"/>
        </w:rPr>
        <w:t xml:space="preserve"> </w:t>
      </w:r>
      <w:proofErr w:type="spellStart"/>
      <w:r w:rsidRPr="00F76D35">
        <w:rPr>
          <w:rFonts w:ascii="Times New Roman" w:hAnsi="Times New Roman"/>
          <w:sz w:val="28"/>
          <w:szCs w:val="28"/>
          <w:lang w:val="uk-UA"/>
        </w:rPr>
        <w:t>and</w:t>
      </w:r>
      <w:proofErr w:type="spellEnd"/>
      <w:r w:rsidRPr="00F76D35">
        <w:rPr>
          <w:rFonts w:ascii="Times New Roman" w:hAnsi="Times New Roman"/>
          <w:sz w:val="28"/>
          <w:szCs w:val="28"/>
          <w:lang w:val="uk-UA"/>
        </w:rPr>
        <w:t xml:space="preserve"> </w:t>
      </w:r>
      <w:proofErr w:type="spellStart"/>
      <w:r w:rsidRPr="00F76D35">
        <w:rPr>
          <w:rFonts w:ascii="Times New Roman" w:hAnsi="Times New Roman"/>
          <w:sz w:val="28"/>
          <w:szCs w:val="28"/>
          <w:lang w:val="uk-UA"/>
        </w:rPr>
        <w:t>Balkandali</w:t>
      </w:r>
      <w:proofErr w:type="spellEnd"/>
      <w:r w:rsidRPr="00F76D35">
        <w:rPr>
          <w:rFonts w:ascii="Times New Roman" w:hAnsi="Times New Roman"/>
          <w:sz w:val="28"/>
          <w:szCs w:val="28"/>
          <w:lang w:val="uk-UA"/>
        </w:rPr>
        <w:t xml:space="preserve"> v. </w:t>
      </w:r>
      <w:proofErr w:type="spellStart"/>
      <w:r w:rsidRPr="00F76D35">
        <w:rPr>
          <w:rFonts w:ascii="Times New Roman" w:hAnsi="Times New Roman"/>
          <w:sz w:val="28"/>
          <w:szCs w:val="28"/>
          <w:lang w:val="uk-UA"/>
        </w:rPr>
        <w:t>the</w:t>
      </w:r>
      <w:proofErr w:type="spellEnd"/>
      <w:r w:rsidRPr="00F76D35">
        <w:rPr>
          <w:rFonts w:ascii="Times New Roman" w:hAnsi="Times New Roman"/>
          <w:sz w:val="28"/>
          <w:szCs w:val="28"/>
          <w:lang w:val="uk-UA"/>
        </w:rPr>
        <w:t xml:space="preserve"> </w:t>
      </w:r>
      <w:proofErr w:type="spellStart"/>
      <w:r w:rsidRPr="00F76D35">
        <w:rPr>
          <w:rFonts w:ascii="Times New Roman" w:hAnsi="Times New Roman"/>
          <w:sz w:val="28"/>
          <w:szCs w:val="28"/>
          <w:lang w:val="uk-UA"/>
        </w:rPr>
        <w:t>United</w:t>
      </w:r>
      <w:proofErr w:type="spellEnd"/>
      <w:r w:rsidRPr="00F76D35">
        <w:rPr>
          <w:rFonts w:ascii="Times New Roman" w:hAnsi="Times New Roman"/>
          <w:sz w:val="28"/>
          <w:szCs w:val="28"/>
          <w:lang w:val="uk-UA"/>
        </w:rPr>
        <w:t xml:space="preserve"> </w:t>
      </w:r>
      <w:proofErr w:type="spellStart"/>
      <w:r w:rsidRPr="00F76D35">
        <w:rPr>
          <w:rFonts w:ascii="Times New Roman" w:hAnsi="Times New Roman"/>
          <w:sz w:val="28"/>
          <w:szCs w:val="28"/>
          <w:lang w:val="uk-UA"/>
        </w:rPr>
        <w:t>Kingdom</w:t>
      </w:r>
      <w:proofErr w:type="spellEnd"/>
      <w:r w:rsidRPr="00F76D35">
        <w:rPr>
          <w:rFonts w:ascii="Times New Roman" w:hAnsi="Times New Roman"/>
          <w:sz w:val="28"/>
          <w:szCs w:val="28"/>
          <w:lang w:val="uk-UA"/>
        </w:rPr>
        <w:t xml:space="preserve">), заяви № 9214/80; 9473/81; 9474/81, рішення від 28 травня 1985 року, йшлося про різні умови надання дозволу на проживання в країні, залежно від того, жінка чи чоловік претендують на такий дозвіл. </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 xml:space="preserve">Відповідно до правил імміграції до Сполученого Королівства чоловік, який є іноземцем, не міг отримати дозволу на в’їзд або проживання, якщо </w:t>
      </w:r>
      <w:r w:rsidRPr="00F76D35">
        <w:rPr>
          <w:rFonts w:ascii="Times New Roman" w:hAnsi="Times New Roman"/>
          <w:sz w:val="28"/>
          <w:szCs w:val="28"/>
          <w:lang w:val="uk-UA"/>
        </w:rPr>
        <w:lastRenderedPageBreak/>
        <w:t>дружина не є громадянкою Сполученого Королівства та не народилася у Великій Британії, або якщо її батьки не народилися у Великій Британії, тоді як дружина, яка є іноземкою і бажає навідати чоловіка, який законно проживає у Сполученому Королівстві, та проживати там з ним, могла отримати дозвіл незалежно від того, чи є чоловік громадянином Сполученого Королівства, та його місця народження.</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 xml:space="preserve">ЄСПЛ наголосив, що за відповідними імміграційними правилами чоловіку, який проживає в Сполученому Королівстві, легше отримати дозвіл на в’їзд і проживання своєї дружини, яка не є громадянкою цієї країни, ніж у разі отримання такого самого дозволу жінці для свого чоловіка, який не перебуває у громадянстві. ЄСПЛ погодився з тим, що правила мають легітимну мету, яка полягає у захисті внутрішнього ринку праці за високого рівня безробіття. Однак, оскільки сприяння рівності статей є однією з головних цілей держав – членів Ради Європи, різниця у ставленні на основі статі може бути сумісна з Конвенцією, тільки якщо можуть бути наведені дуже істотні виправдувальні мотиви. ЄСПЛ не переконаний у тому, що різниця, яка може існувати між відповідним впливом чоловіків і жінок на ринок праці, була досить важливою для того, щоб виправдати різницю в ставленні, тому визнав порушення ст. 14 Конвенції у поєднанні зі ст. 8, а також порушення ст. 13 Конвенції </w:t>
      </w:r>
    </w:p>
    <w:p w:rsidR="00F76D35" w:rsidRPr="00F76D35" w:rsidRDefault="00F76D35" w:rsidP="009B1EBB">
      <w:pPr>
        <w:tabs>
          <w:tab w:val="left" w:pos="5670"/>
        </w:tabs>
        <w:spacing w:after="0" w:line="360" w:lineRule="auto"/>
        <w:ind w:firstLine="709"/>
        <w:jc w:val="both"/>
        <w:rPr>
          <w:rFonts w:ascii="Times New Roman" w:hAnsi="Times New Roman"/>
          <w:b/>
          <w:sz w:val="28"/>
          <w:szCs w:val="28"/>
          <w:lang w:val="uk-UA"/>
        </w:rPr>
      </w:pPr>
      <w:r w:rsidRPr="00F76D35">
        <w:rPr>
          <w:rFonts w:ascii="Times New Roman" w:hAnsi="Times New Roman"/>
          <w:sz w:val="28"/>
          <w:szCs w:val="28"/>
          <w:lang w:val="uk-UA"/>
        </w:rPr>
        <w:t>У справі «</w:t>
      </w:r>
      <w:r w:rsidRPr="00F76D35">
        <w:rPr>
          <w:rFonts w:ascii="Times New Roman" w:hAnsi="Times New Roman"/>
          <w:b/>
          <w:sz w:val="28"/>
          <w:szCs w:val="28"/>
          <w:lang w:val="uk-UA"/>
        </w:rPr>
        <w:t>Вагнер та J.M.W.L. проти Люксембургу</w:t>
      </w:r>
      <w:r w:rsidRPr="00F76D35">
        <w:rPr>
          <w:rFonts w:ascii="Times New Roman" w:hAnsi="Times New Roman"/>
          <w:sz w:val="28"/>
          <w:szCs w:val="28"/>
          <w:lang w:val="uk-UA"/>
        </w:rPr>
        <w:t>» (</w:t>
      </w:r>
      <w:proofErr w:type="spellStart"/>
      <w:r w:rsidRPr="00F76D35">
        <w:rPr>
          <w:rFonts w:ascii="Times New Roman" w:hAnsi="Times New Roman"/>
          <w:sz w:val="28"/>
          <w:szCs w:val="28"/>
          <w:lang w:val="uk-UA"/>
        </w:rPr>
        <w:t>Wagner</w:t>
      </w:r>
      <w:proofErr w:type="spellEnd"/>
      <w:r w:rsidRPr="00F76D35">
        <w:rPr>
          <w:rFonts w:ascii="Times New Roman" w:hAnsi="Times New Roman"/>
          <w:sz w:val="28"/>
          <w:szCs w:val="28"/>
          <w:lang w:val="uk-UA"/>
        </w:rPr>
        <w:t xml:space="preserve"> </w:t>
      </w:r>
      <w:proofErr w:type="spellStart"/>
      <w:r w:rsidRPr="00F76D35">
        <w:rPr>
          <w:rFonts w:ascii="Times New Roman" w:hAnsi="Times New Roman"/>
          <w:sz w:val="28"/>
          <w:szCs w:val="28"/>
          <w:lang w:val="uk-UA"/>
        </w:rPr>
        <w:t>and</w:t>
      </w:r>
      <w:proofErr w:type="spellEnd"/>
      <w:r w:rsidRPr="00F76D35">
        <w:rPr>
          <w:rFonts w:ascii="Times New Roman" w:hAnsi="Times New Roman"/>
          <w:sz w:val="28"/>
          <w:szCs w:val="28"/>
          <w:lang w:val="uk-UA"/>
        </w:rPr>
        <w:t xml:space="preserve"> J.M.W.L. v. </w:t>
      </w:r>
      <w:proofErr w:type="spellStart"/>
      <w:r w:rsidRPr="00F76D35">
        <w:rPr>
          <w:rFonts w:ascii="Times New Roman" w:hAnsi="Times New Roman"/>
          <w:sz w:val="28"/>
          <w:szCs w:val="28"/>
          <w:lang w:val="uk-UA"/>
        </w:rPr>
        <w:t>Luxembourg</w:t>
      </w:r>
      <w:proofErr w:type="spellEnd"/>
      <w:r w:rsidRPr="00F76D35">
        <w:rPr>
          <w:rFonts w:ascii="Times New Roman" w:hAnsi="Times New Roman"/>
          <w:sz w:val="28"/>
          <w:szCs w:val="28"/>
          <w:lang w:val="uk-UA"/>
        </w:rPr>
        <w:t xml:space="preserve">), заява № 76240/01, рішення від 28 липня 2007 року, </w:t>
      </w:r>
      <w:r w:rsidRPr="00F76D35">
        <w:rPr>
          <w:rFonts w:ascii="Times New Roman" w:eastAsia="Arial Unicode MS" w:hAnsi="Times New Roman"/>
          <w:sz w:val="28"/>
          <w:szCs w:val="28"/>
          <w:lang w:val="uk-UA"/>
        </w:rPr>
        <w:t xml:space="preserve">заявниця скаржилася на те, що відмова національного суду Люксембургу у визнанні рішення суду Перу про </w:t>
      </w:r>
      <w:r w:rsidR="004D46E3">
        <w:rPr>
          <w:rFonts w:ascii="Times New Roman" w:eastAsia="Arial Unicode MS" w:hAnsi="Times New Roman"/>
          <w:sz w:val="28"/>
          <w:szCs w:val="28"/>
          <w:lang w:val="uk-UA"/>
        </w:rPr>
        <w:t>у</w:t>
      </w:r>
      <w:r w:rsidRPr="00F76D35">
        <w:rPr>
          <w:rFonts w:ascii="Times New Roman" w:eastAsia="Arial Unicode MS" w:hAnsi="Times New Roman"/>
          <w:sz w:val="28"/>
          <w:szCs w:val="28"/>
          <w:lang w:val="uk-UA"/>
        </w:rPr>
        <w:t xml:space="preserve">дочеріння порушило її право на повагу до приватного та сімейного життя відповідно до ст. 8 ЄКПЛ. Заявниця зазначала, що подала до національного суду заяву про визнання рішення перуанського суду про </w:t>
      </w:r>
      <w:r w:rsidR="004D46E3">
        <w:rPr>
          <w:rFonts w:ascii="Times New Roman" w:eastAsia="Arial Unicode MS" w:hAnsi="Times New Roman"/>
          <w:sz w:val="28"/>
          <w:szCs w:val="28"/>
          <w:lang w:val="uk-UA"/>
        </w:rPr>
        <w:t>у</w:t>
      </w:r>
      <w:r w:rsidRPr="00F76D35">
        <w:rPr>
          <w:rFonts w:ascii="Times New Roman" w:eastAsia="Arial Unicode MS" w:hAnsi="Times New Roman"/>
          <w:sz w:val="28"/>
          <w:szCs w:val="28"/>
          <w:lang w:val="uk-UA"/>
        </w:rPr>
        <w:t xml:space="preserve">дочеріння з метою реєстрації в органах реєстрації актів цивільного стану, отримання дитиною громадянства Люксембургу і права на постійне проживання. Національний суд відмовив у визнанні рішення іноземного суду, адже рішення перуанського суду про повне </w:t>
      </w:r>
      <w:r w:rsidR="004D46E3">
        <w:rPr>
          <w:rFonts w:ascii="Times New Roman" w:eastAsia="Arial Unicode MS" w:hAnsi="Times New Roman"/>
          <w:sz w:val="28"/>
          <w:szCs w:val="28"/>
          <w:lang w:val="uk-UA"/>
        </w:rPr>
        <w:lastRenderedPageBreak/>
        <w:t>у</w:t>
      </w:r>
      <w:r w:rsidRPr="00F76D35">
        <w:rPr>
          <w:rFonts w:ascii="Times New Roman" w:eastAsia="Arial Unicode MS" w:hAnsi="Times New Roman"/>
          <w:sz w:val="28"/>
          <w:szCs w:val="28"/>
          <w:lang w:val="uk-UA"/>
        </w:rPr>
        <w:t>дочеріння суперечило законодавству Люксембургу, яке мало бути застосоване у даному разі відповідно до колізійної норми, передбаченої Цивільним кодексом Люксембургу, оскільки воно забороняло повне удочеріння особою, яка не перебувала у шлюбі. У цій справі ЄСПЛ зазначив, що відмова визнати рішення перуанського суду через відсутність в законодавстві Люксембургу положень, які дозволяють повне усиновлення дитини особою, яка не перебуває у шлюбі, є «втручанням» влади у здійснення заявницею права на повагу до сімейного життя. У даному контексті слід з’ясувати, чи було зазначене втручання «необхідним у демократичному суспільстві». ЄСПЛ зауважив, що у Люксембурзі існувала практика автоматичного визнання перуанських судових рішень про повне усиновлення, і декілька жінок, які не перебували у шлюбі, зареєстрували рішення суду в органах реєстрації актів цивільного стану без звернення за виконавчим листом. Отже, заявниця могла розраховувати на те, що, повернувшись до Люксембургу, рішення перуанського суду буде зареєстроване у відповідних органах. Однак така практика припинилася, та саме її справа була передана на розгляд до суду. Відмовившись визнати рішення таким, що підлягає виконанню, на думку ЄСПЛ, влада надала колізійній нормі більше значення, аніж соціальній дійсності та ситуації заявниці. Оскільки суди Люксембургу офіційно не визнали виникнення сімейних зв’язків у результаті повного удочеріння, що мало місце у Перу, цей зв’язок не зміг бути реалізований в повному обсязі у Люксембурзі. У результаті заявниця зіткнулася у повсякденному житті з перепонами, і дитина не могла користуватися правовим захистом, який дозволив би їй повністю інтегруватися у прийомну сім’ю. Оскільки інтереси дитини повинні мати пріоритет у справах такого роду, суди Люксембургу, діючи розумно, не могли не взяти до уваги правовий статус, який був належним чином набутий у Перу і відповідав сімейному життю у значенні ст. 8 ЄКПЛ. Виходячи із зазначеного, відмова у визнанні та виконанні рішення іноземного суду становила собою порушення ст. 8 ЄКПЛ</w:t>
      </w:r>
      <w:r w:rsidRPr="00F76D35">
        <w:rPr>
          <w:rFonts w:ascii="Times New Roman" w:hAnsi="Times New Roman"/>
          <w:b/>
          <w:sz w:val="28"/>
          <w:szCs w:val="28"/>
          <w:lang w:val="uk-UA"/>
        </w:rPr>
        <w:t xml:space="preserve"> </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lastRenderedPageBreak/>
        <w:t>У справі «</w:t>
      </w:r>
      <w:proofErr w:type="spellStart"/>
      <w:r w:rsidRPr="00F76D35">
        <w:rPr>
          <w:rFonts w:ascii="Times New Roman" w:hAnsi="Times New Roman"/>
          <w:b/>
          <w:sz w:val="28"/>
          <w:szCs w:val="28"/>
          <w:lang w:val="uk-UA"/>
        </w:rPr>
        <w:t>Андрле</w:t>
      </w:r>
      <w:proofErr w:type="spellEnd"/>
      <w:r w:rsidRPr="00F76D35">
        <w:rPr>
          <w:rFonts w:ascii="Times New Roman" w:hAnsi="Times New Roman"/>
          <w:b/>
          <w:sz w:val="28"/>
          <w:szCs w:val="28"/>
          <w:lang w:val="uk-UA"/>
        </w:rPr>
        <w:t xml:space="preserve"> проти Чеської Республіки</w:t>
      </w:r>
      <w:r w:rsidRPr="00F76D35">
        <w:rPr>
          <w:rFonts w:ascii="Times New Roman" w:hAnsi="Times New Roman"/>
          <w:sz w:val="28"/>
          <w:szCs w:val="28"/>
          <w:lang w:val="uk-UA"/>
        </w:rPr>
        <w:t>» (</w:t>
      </w:r>
      <w:proofErr w:type="spellStart"/>
      <w:r w:rsidRPr="00F76D35">
        <w:rPr>
          <w:rFonts w:ascii="Times New Roman" w:hAnsi="Times New Roman"/>
          <w:sz w:val="28"/>
          <w:szCs w:val="28"/>
          <w:lang w:val="uk-UA"/>
        </w:rPr>
        <w:t>Andrle</w:t>
      </w:r>
      <w:proofErr w:type="spellEnd"/>
      <w:r w:rsidRPr="00F76D35">
        <w:rPr>
          <w:rFonts w:ascii="Times New Roman" w:hAnsi="Times New Roman"/>
          <w:sz w:val="28"/>
          <w:szCs w:val="28"/>
          <w:lang w:val="uk-UA"/>
        </w:rPr>
        <w:t xml:space="preserve"> v. </w:t>
      </w:r>
      <w:proofErr w:type="spellStart"/>
      <w:r w:rsidRPr="00F76D35">
        <w:rPr>
          <w:rFonts w:ascii="Times New Roman" w:hAnsi="Times New Roman"/>
          <w:sz w:val="28"/>
          <w:szCs w:val="28"/>
          <w:lang w:val="uk-UA"/>
        </w:rPr>
        <w:t>The</w:t>
      </w:r>
      <w:proofErr w:type="spellEnd"/>
      <w:r w:rsidRPr="00F76D35">
        <w:rPr>
          <w:rFonts w:ascii="Times New Roman" w:hAnsi="Times New Roman"/>
          <w:sz w:val="28"/>
          <w:szCs w:val="28"/>
          <w:lang w:val="uk-UA"/>
        </w:rPr>
        <w:t xml:space="preserve"> </w:t>
      </w:r>
      <w:proofErr w:type="spellStart"/>
      <w:r w:rsidRPr="00F76D35">
        <w:rPr>
          <w:rFonts w:ascii="Times New Roman" w:hAnsi="Times New Roman"/>
          <w:sz w:val="28"/>
          <w:szCs w:val="28"/>
          <w:lang w:val="uk-UA"/>
        </w:rPr>
        <w:t>Chech</w:t>
      </w:r>
      <w:proofErr w:type="spellEnd"/>
      <w:r w:rsidRPr="00F76D35">
        <w:rPr>
          <w:rFonts w:ascii="Times New Roman" w:hAnsi="Times New Roman"/>
          <w:sz w:val="28"/>
          <w:szCs w:val="28"/>
          <w:lang w:val="uk-UA"/>
        </w:rPr>
        <w:t xml:space="preserve"> </w:t>
      </w:r>
      <w:proofErr w:type="spellStart"/>
      <w:r w:rsidRPr="00F76D35">
        <w:rPr>
          <w:rFonts w:ascii="Times New Roman" w:hAnsi="Times New Roman"/>
          <w:sz w:val="28"/>
          <w:szCs w:val="28"/>
          <w:lang w:val="uk-UA"/>
        </w:rPr>
        <w:t>Republic</w:t>
      </w:r>
      <w:proofErr w:type="spellEnd"/>
      <w:r w:rsidRPr="00F76D35">
        <w:rPr>
          <w:rFonts w:ascii="Times New Roman" w:hAnsi="Times New Roman"/>
          <w:sz w:val="28"/>
          <w:szCs w:val="28"/>
          <w:lang w:val="uk-UA"/>
        </w:rPr>
        <w:t>) батько двох дітей скаржився, що для чоловіків, які виховують дітей, на відміну від жінок, не передбачено скорочення пенсійного віку. ЄСПЛ погодився, що це правило переслідує законну мету – компенсувати жінкам фактичну нерівність і тяготи, спричинені наявністю особливих історичних умов на теренах колишньої Чехословаччини, коли жінки були змушені доглядати дітей, вести домашнє господарство та ще й працювати повний робочий день. За таких умов національні органи перебувають у кращому становищі, щоб визначити, коли несправедливе ставлення до чоловіків переважає над необхідністю виправити пригнічене становище жінок шляхом застосування заходів позитивної дискримінації. У 2010 р. уряд Чехії здійснив перші важливі кроки для зрівняння пенсійного віку: було скасовано нижчий пенсійний вік для жінок, які мають одну дитину, і підвищено пенсійний вік жінок загалом, незалежно від того, скільки дітей має жінка. Беручи до уваги поступовий характер демографічних змін, еволюцію розуміння ґендерних ролей і складність оцінки всієї пенсійної реформи в широкому контексті, не можна критикувати державу за те, що вона реформує свою пенсійну систему поступово, а не запроваджує весь комплекс змін одночасно. За особливих обставин цієї справи підхід національних органів залишатиметься розумним і виправданим доти, доки соціальні і економічні зміни не скасують потребу в особливому ставленні до жінок. Тривалість і обсяг заходів, що є необхідними для виправлення історичної нерівності, не є очевидно нерозумними, а отже, держава не порушила надану їй свободу розсуду в цій сфері.</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b/>
          <w:sz w:val="28"/>
          <w:szCs w:val="28"/>
          <w:lang w:val="uk-UA"/>
        </w:rPr>
        <w:t xml:space="preserve">Рішення Європейського суду з прав людини у справі </w:t>
      </w:r>
      <w:proofErr w:type="spellStart"/>
      <w:r w:rsidRPr="00F76D35">
        <w:rPr>
          <w:rFonts w:ascii="Times New Roman" w:hAnsi="Times New Roman"/>
          <w:b/>
          <w:sz w:val="28"/>
          <w:szCs w:val="28"/>
          <w:lang w:val="uk-UA"/>
        </w:rPr>
        <w:t>Emel</w:t>
      </w:r>
      <w:proofErr w:type="spellEnd"/>
      <w:r w:rsidRPr="00F76D35">
        <w:rPr>
          <w:rFonts w:ascii="Times New Roman" w:hAnsi="Times New Roman"/>
          <w:b/>
          <w:sz w:val="28"/>
          <w:szCs w:val="28"/>
          <w:lang w:val="uk-UA"/>
        </w:rPr>
        <w:t xml:space="preserve"> </w:t>
      </w:r>
      <w:proofErr w:type="spellStart"/>
      <w:r w:rsidRPr="00F76D35">
        <w:rPr>
          <w:rFonts w:ascii="Times New Roman" w:hAnsi="Times New Roman"/>
          <w:b/>
          <w:sz w:val="28"/>
          <w:szCs w:val="28"/>
          <w:lang w:val="uk-UA"/>
        </w:rPr>
        <w:t>Boyraz</w:t>
      </w:r>
      <w:proofErr w:type="spellEnd"/>
      <w:r w:rsidRPr="00F76D35">
        <w:rPr>
          <w:rFonts w:ascii="Times New Roman" w:hAnsi="Times New Roman"/>
          <w:b/>
          <w:sz w:val="28"/>
          <w:szCs w:val="28"/>
          <w:lang w:val="uk-UA"/>
        </w:rPr>
        <w:t xml:space="preserve"> v. </w:t>
      </w:r>
      <w:proofErr w:type="spellStart"/>
      <w:r w:rsidRPr="00F76D35">
        <w:rPr>
          <w:rFonts w:ascii="Times New Roman" w:hAnsi="Times New Roman"/>
          <w:b/>
          <w:sz w:val="28"/>
          <w:szCs w:val="28"/>
          <w:lang w:val="uk-UA"/>
        </w:rPr>
        <w:t>Turkey</w:t>
      </w:r>
      <w:proofErr w:type="spellEnd"/>
      <w:r w:rsidRPr="00F76D35">
        <w:rPr>
          <w:rFonts w:ascii="Times New Roman" w:hAnsi="Times New Roman"/>
          <w:b/>
          <w:sz w:val="28"/>
          <w:szCs w:val="28"/>
          <w:lang w:val="uk-UA"/>
        </w:rPr>
        <w:t xml:space="preserve"> від 2 грудня 2014 р</w:t>
      </w:r>
      <w:r w:rsidRPr="00F76D35">
        <w:rPr>
          <w:rFonts w:ascii="Times New Roman" w:hAnsi="Times New Roman"/>
          <w:sz w:val="28"/>
          <w:szCs w:val="28"/>
          <w:lang w:val="uk-UA"/>
        </w:rPr>
        <w:t xml:space="preserve">. Заявниця, громадянка Туреччини, була призначена на посаду офіцера безпеки у відділенні державної електричної компанії. Вона працювала на контрактній основі майже три роки перед тим, як її у березні 2004 р. звільнили через її стать. Її було поінформовано, що вона не може працювати далі, оскільки не відповідає критеріям «бути </w:t>
      </w:r>
      <w:r w:rsidRPr="00F76D35">
        <w:rPr>
          <w:rFonts w:ascii="Times New Roman" w:hAnsi="Times New Roman"/>
          <w:sz w:val="28"/>
          <w:szCs w:val="28"/>
          <w:lang w:val="uk-UA"/>
        </w:rPr>
        <w:lastRenderedPageBreak/>
        <w:t xml:space="preserve">чоловіком» та «пройти військову службу». У лютому 2006 р. суди відмовили пані </w:t>
      </w:r>
      <w:proofErr w:type="spellStart"/>
      <w:r w:rsidRPr="00F76D35">
        <w:rPr>
          <w:rFonts w:ascii="Times New Roman" w:hAnsi="Times New Roman"/>
          <w:sz w:val="28"/>
          <w:szCs w:val="28"/>
          <w:lang w:val="uk-UA"/>
        </w:rPr>
        <w:t>Бойраз</w:t>
      </w:r>
      <w:proofErr w:type="spellEnd"/>
      <w:r w:rsidRPr="00F76D35">
        <w:rPr>
          <w:rFonts w:ascii="Times New Roman" w:hAnsi="Times New Roman"/>
          <w:sz w:val="28"/>
          <w:szCs w:val="28"/>
          <w:lang w:val="uk-UA"/>
        </w:rPr>
        <w:t xml:space="preserve">, посилаючись на попереднє рішення Вищого Адміністративного Суду, який встановив, що </w:t>
      </w:r>
      <w:r w:rsidRPr="00F76D35">
        <w:rPr>
          <w:rFonts w:ascii="Times New Roman" w:hAnsi="Times New Roman"/>
          <w:i/>
          <w:sz w:val="28"/>
          <w:szCs w:val="28"/>
          <w:lang w:val="uk-UA"/>
        </w:rPr>
        <w:t>вимоги, які стосуються служби в армії, демонструють, що ця посада була зарезервована для кандидатів-чоловіків, і що ця вимога була законною, беручи до уваги особливості посади та суспільний інтерес</w:t>
      </w:r>
      <w:r w:rsidRPr="00F76D35">
        <w:rPr>
          <w:rFonts w:ascii="Times New Roman" w:hAnsi="Times New Roman"/>
          <w:sz w:val="28"/>
          <w:szCs w:val="28"/>
          <w:lang w:val="uk-UA"/>
        </w:rPr>
        <w:t xml:space="preserve">. </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Уряд зазначив, що ані ст. 8, ані ст. 14 Конвенції у цій справі не підлягають застосуванню, оскільки вона стосується права, яке не є гарантованим Конвенцією, а саме права на публічну службу. Уряд підкреслив, що відмова найняти особу на публічну службу не може бути предметом скарги за Конвенцією.</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Заявниця в свою чергу відзначила, що місцева влада погодилась на її кандидатуру на посаду співробітника служби безпеки й призначила її на посаду, хоча було відомо, що вона жінка. Тим не менше, вона працювала на посаді офіцера служби безпеки з 11 липня 2001 р. по 17 березня 2004 р., і лише потім її було звільнено з займаної посади.</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 xml:space="preserve">Європейський суд з прав людини нагадує, що ст. 14 Конвенції захищає осіб у подібних ситуаціях від відмінного ставлення до них у реалізації їх прав і свобод, гарантованих Конвенцією, без належного обґрунтування такої різниці у ставленні. Це положення не має самостійного значення, оскільки діє виключно у взаємозв’язку із правами і свободами, гарантованими іншими матеріалами положеннями Конвенції й Протоколами до неї. </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Для того, щоб ст. 14 могла бути застосована, достатньо, аби факти, що стосуються розглядуваної справи, підпадали під сферу дії іншого матеріального положення Конвенції або Протоколів до неї. &lt;…&gt; У цій справі Судом було розглянуто, чи мало місце порушення ст. 8 Конвенції, для того</w:t>
      </w:r>
      <w:r w:rsidR="002670DF">
        <w:rPr>
          <w:rFonts w:ascii="Times New Roman" w:hAnsi="Times New Roman"/>
          <w:sz w:val="28"/>
          <w:szCs w:val="28"/>
          <w:lang w:val="uk-UA"/>
        </w:rPr>
        <w:t>,</w:t>
      </w:r>
      <w:r w:rsidRPr="00F76D35">
        <w:rPr>
          <w:rFonts w:ascii="Times New Roman" w:hAnsi="Times New Roman"/>
          <w:sz w:val="28"/>
          <w:szCs w:val="28"/>
          <w:lang w:val="uk-UA"/>
        </w:rPr>
        <w:t xml:space="preserve"> щоб мати можливість застосувати ст. 14.</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Суд нагадує, що право бути призначеним на державну службу було спеціально виключено з Конвенції. Звідси, відмова призначити особу державним службовцем не може слугувати предметом скарги за Конвенцією.</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lastRenderedPageBreak/>
        <w:t xml:space="preserve">Суд однак звертає увагу, що у цій справі питання, яке розглядається, полягає не в тому, чи мала заявниця право бути призначеною на державну службу. Заявниця не скаржиться на саму по собі відмову національної влади призначити її державним службовцем. Вона, наприклад, не скаржиться на відсутність можливості стати державним службовцем на тій підставі, що вона не має відповідної кваліфікації, необхідної для кандидатів на цю посаду. Її позиція пов’язана із тим, що </w:t>
      </w:r>
      <w:r w:rsidRPr="00F76D35">
        <w:rPr>
          <w:rFonts w:ascii="Times New Roman" w:hAnsi="Times New Roman"/>
          <w:i/>
          <w:sz w:val="28"/>
          <w:szCs w:val="28"/>
          <w:lang w:val="uk-UA"/>
        </w:rPr>
        <w:t>наявна різниця у відношенні до неї зумовлена її статевою належністю</w:t>
      </w:r>
      <w:r w:rsidRPr="00F76D35">
        <w:rPr>
          <w:rFonts w:ascii="Times New Roman" w:hAnsi="Times New Roman"/>
          <w:sz w:val="28"/>
          <w:szCs w:val="28"/>
          <w:lang w:val="uk-UA"/>
        </w:rPr>
        <w:t xml:space="preserve">. </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 xml:space="preserve">Повертаючись до обставин цієї справи, Суд нагадує, що заявниця була звільнена з посади у 2004 р. через свою стать. На думку Суду, </w:t>
      </w:r>
      <w:r w:rsidRPr="00F76D35">
        <w:rPr>
          <w:rFonts w:ascii="Times New Roman" w:hAnsi="Times New Roman"/>
          <w:i/>
          <w:sz w:val="28"/>
          <w:szCs w:val="28"/>
          <w:lang w:val="uk-UA"/>
        </w:rPr>
        <w:t xml:space="preserve">поняття «приватне життя» поширюється на аспекти, пов’язані з особистою ідентичністю та статтю людини, що є невід’ємною складовою її ідентичності. </w:t>
      </w:r>
      <w:r w:rsidRPr="00F76D35">
        <w:rPr>
          <w:rFonts w:ascii="Times New Roman" w:hAnsi="Times New Roman"/>
          <w:sz w:val="28"/>
          <w:szCs w:val="28"/>
          <w:lang w:val="uk-UA"/>
        </w:rPr>
        <w:t>Тому</w:t>
      </w:r>
      <w:r w:rsidRPr="00F76D35">
        <w:rPr>
          <w:rFonts w:ascii="Times New Roman" w:hAnsi="Times New Roman"/>
          <w:i/>
          <w:sz w:val="28"/>
          <w:szCs w:val="28"/>
          <w:lang w:val="uk-UA"/>
        </w:rPr>
        <w:t xml:space="preserve"> така дія, як звільнення з посади тільки на підставі статі справляє негативний вплив на особистість людини, її </w:t>
      </w:r>
      <w:proofErr w:type="spellStart"/>
      <w:r w:rsidRPr="00F76D35">
        <w:rPr>
          <w:rFonts w:ascii="Times New Roman" w:hAnsi="Times New Roman"/>
          <w:i/>
          <w:sz w:val="28"/>
          <w:szCs w:val="28"/>
          <w:lang w:val="uk-UA"/>
        </w:rPr>
        <w:t>самосприйняття</w:t>
      </w:r>
      <w:proofErr w:type="spellEnd"/>
      <w:r w:rsidRPr="00F76D35">
        <w:rPr>
          <w:rFonts w:ascii="Times New Roman" w:hAnsi="Times New Roman"/>
          <w:i/>
          <w:sz w:val="28"/>
          <w:szCs w:val="28"/>
          <w:lang w:val="uk-UA"/>
        </w:rPr>
        <w:t xml:space="preserve"> і самоповагу і, як наслідок, на її приватне життя</w:t>
      </w:r>
      <w:r w:rsidRPr="00F76D35">
        <w:rPr>
          <w:rFonts w:ascii="Times New Roman" w:hAnsi="Times New Roman"/>
          <w:sz w:val="28"/>
          <w:szCs w:val="28"/>
          <w:lang w:val="uk-UA"/>
        </w:rPr>
        <w:t xml:space="preserve">. Крім того, звільнення заявниці вплинуло на її «внутрішнє коло», оскільки втрата роботи повинна була мати відчутні наслідки для матеріального добробуту для неї і її сім’ї. Заявниця також зазнала страждань і занепокоєння у зв’язку із втратою своєї посади. Більше того, звільнення заявниці вплинуло на широке коло її відносин з іншими, у тому числі професійного характеру, і на її можливість практикувати професію, яка відповідає її кваліфікації. Відповідно, Суд доходить висновку про те, що ст. 8 є застосовною до скарги заявниці. </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 xml:space="preserve">Зважаючи на викладене, Суд вважає, що ст. 14 Конвенції може бути застосована до обставин цієї справи, взята в поєднанні зі ст. 8, і відхиляє заперечення Уряду. </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 xml:space="preserve">Суд встановив, що мало місце порушення ст. 14 Конвенції (заборона дискримінації), </w:t>
      </w:r>
      <w:proofErr w:type="spellStart"/>
      <w:r w:rsidRPr="00F76D35">
        <w:rPr>
          <w:rFonts w:ascii="Times New Roman" w:hAnsi="Times New Roman"/>
          <w:sz w:val="28"/>
          <w:szCs w:val="28"/>
          <w:lang w:val="uk-UA"/>
        </w:rPr>
        <w:t>тлумачене</w:t>
      </w:r>
      <w:proofErr w:type="spellEnd"/>
      <w:r w:rsidRPr="00F76D35">
        <w:rPr>
          <w:rFonts w:ascii="Times New Roman" w:hAnsi="Times New Roman"/>
          <w:sz w:val="28"/>
          <w:szCs w:val="28"/>
          <w:lang w:val="uk-UA"/>
        </w:rPr>
        <w:t xml:space="preserve"> у поєднанні зі ст. 8 (право на повагу до приватного та сімейного життя), а також порушення ст. 6 (1) (право на справедливий суд) у зв’язку з надмірною тривалістю процедури, суперечливим характером </w:t>
      </w:r>
      <w:r w:rsidRPr="00F76D35">
        <w:rPr>
          <w:rFonts w:ascii="Times New Roman" w:hAnsi="Times New Roman"/>
          <w:sz w:val="28"/>
          <w:szCs w:val="28"/>
          <w:lang w:val="uk-UA"/>
        </w:rPr>
        <w:lastRenderedPageBreak/>
        <w:t>рішень, винесених Вищим Адміністративним Судом та відсутністю адекватного обґрунтування у рішенні Вищого Адміністративного Суду [734].</w:t>
      </w:r>
    </w:p>
    <w:p w:rsidR="00F76D35" w:rsidRPr="00F76D35" w:rsidRDefault="00F76D35" w:rsidP="009B1EBB">
      <w:pPr>
        <w:spacing w:after="0" w:line="360" w:lineRule="auto"/>
        <w:ind w:firstLine="709"/>
        <w:jc w:val="both"/>
        <w:rPr>
          <w:rFonts w:ascii="Times New Roman" w:hAnsi="Times New Roman"/>
          <w:b/>
          <w:i/>
          <w:sz w:val="28"/>
          <w:szCs w:val="28"/>
          <w:lang w:val="uk-UA"/>
        </w:rPr>
      </w:pPr>
      <w:r w:rsidRPr="00F76D35">
        <w:rPr>
          <w:rFonts w:ascii="Times New Roman" w:hAnsi="Times New Roman"/>
          <w:sz w:val="28"/>
          <w:szCs w:val="28"/>
          <w:lang w:val="uk-UA"/>
        </w:rPr>
        <w:t>У справі «</w:t>
      </w:r>
      <w:proofErr w:type="spellStart"/>
      <w:r w:rsidRPr="00F76D35">
        <w:rPr>
          <w:rFonts w:ascii="Times New Roman" w:hAnsi="Times New Roman"/>
          <w:b/>
          <w:sz w:val="28"/>
          <w:szCs w:val="28"/>
          <w:lang w:val="uk-UA"/>
        </w:rPr>
        <w:t>Шулер-Цґраґґен</w:t>
      </w:r>
      <w:proofErr w:type="spellEnd"/>
      <w:r w:rsidRPr="00F76D35">
        <w:rPr>
          <w:rFonts w:ascii="Times New Roman" w:hAnsi="Times New Roman"/>
          <w:b/>
          <w:sz w:val="28"/>
          <w:szCs w:val="28"/>
          <w:lang w:val="uk-UA"/>
        </w:rPr>
        <w:t xml:space="preserve"> проти Швейцарії</w:t>
      </w:r>
      <w:r w:rsidRPr="00F76D35">
        <w:rPr>
          <w:rFonts w:ascii="Times New Roman" w:hAnsi="Times New Roman"/>
          <w:sz w:val="28"/>
          <w:szCs w:val="28"/>
          <w:lang w:val="uk-UA"/>
        </w:rPr>
        <w:t xml:space="preserve">» (Schuler-Zgraggen v. </w:t>
      </w:r>
      <w:proofErr w:type="spellStart"/>
      <w:r w:rsidRPr="00F76D35">
        <w:rPr>
          <w:rFonts w:ascii="Times New Roman" w:hAnsi="Times New Roman"/>
          <w:sz w:val="28"/>
          <w:szCs w:val="28"/>
          <w:lang w:val="uk-UA"/>
        </w:rPr>
        <w:t>Switzerland</w:t>
      </w:r>
      <w:proofErr w:type="spellEnd"/>
      <w:r w:rsidRPr="00F76D35">
        <w:rPr>
          <w:rFonts w:ascii="Times New Roman" w:hAnsi="Times New Roman"/>
          <w:sz w:val="28"/>
          <w:szCs w:val="28"/>
          <w:lang w:val="uk-UA"/>
        </w:rPr>
        <w:t>) заявниці, яка певний час отримувала пенсію у зв’язку з непрацездатністю внаслідок хвороби, після народження дитини скасували виплати, оскільки стан її здоров’я поліпшився, й вона на 60-70 % була спроможна доглядати за домівкою і своєю дитиною. Заявниця оскаржила це рішення, однак безуспішно. Зокрема, Федеральний страховий суд щодо претензій на пенсію заявив: «</w:t>
      </w:r>
      <w:r w:rsidRPr="00F76D35">
        <w:rPr>
          <w:rFonts w:ascii="Times New Roman" w:hAnsi="Times New Roman"/>
          <w:i/>
          <w:sz w:val="28"/>
          <w:szCs w:val="28"/>
          <w:lang w:val="uk-UA"/>
        </w:rPr>
        <w:t>Слід узяти до уваги..., що багато одружених жінок, які працюють, після народження першої дитини залишають роботу на той час, поки дитина потребує постійної турботи і виховання. Це спостереження, що випливає з життєвого досвіду, має в цій справі слугувати відправним пунктом і належним чином враховуватися, коли йдеться про критерії оцінки ступеня непрацездатності... На час ухвалення оскаржуваного рішення – 21 березня 1986 р. ... – дитині, народженій 4 травня 1984 р., не було ще двох років, тож, зваживши на міру ймовірності (</w:t>
      </w:r>
      <w:proofErr w:type="spellStart"/>
      <w:r w:rsidRPr="00F76D35">
        <w:rPr>
          <w:rFonts w:ascii="Times New Roman" w:hAnsi="Times New Roman"/>
          <w:i/>
          <w:sz w:val="28"/>
          <w:szCs w:val="28"/>
          <w:lang w:val="uk-UA"/>
        </w:rPr>
        <w:t>nach</w:t>
      </w:r>
      <w:proofErr w:type="spellEnd"/>
      <w:r w:rsidRPr="00F76D35">
        <w:rPr>
          <w:rFonts w:ascii="Times New Roman" w:hAnsi="Times New Roman"/>
          <w:i/>
          <w:sz w:val="28"/>
          <w:szCs w:val="28"/>
          <w:lang w:val="uk-UA"/>
        </w:rPr>
        <w:t xml:space="preserve"> </w:t>
      </w:r>
      <w:proofErr w:type="spellStart"/>
      <w:r w:rsidRPr="00F76D35">
        <w:rPr>
          <w:rFonts w:ascii="Times New Roman" w:hAnsi="Times New Roman"/>
          <w:i/>
          <w:sz w:val="28"/>
          <w:szCs w:val="28"/>
          <w:lang w:val="uk-UA"/>
        </w:rPr>
        <w:t>dem</w:t>
      </w:r>
      <w:proofErr w:type="spellEnd"/>
      <w:r w:rsidRPr="00F76D35">
        <w:rPr>
          <w:rFonts w:ascii="Times New Roman" w:hAnsi="Times New Roman"/>
          <w:i/>
          <w:sz w:val="28"/>
          <w:szCs w:val="28"/>
          <w:lang w:val="uk-UA"/>
        </w:rPr>
        <w:t xml:space="preserve"> </w:t>
      </w:r>
      <w:proofErr w:type="spellStart"/>
      <w:r w:rsidRPr="00F76D35">
        <w:rPr>
          <w:rFonts w:ascii="Times New Roman" w:hAnsi="Times New Roman"/>
          <w:i/>
          <w:sz w:val="28"/>
          <w:szCs w:val="28"/>
          <w:lang w:val="uk-UA"/>
        </w:rPr>
        <w:t>Beweisgrad</w:t>
      </w:r>
      <w:proofErr w:type="spellEnd"/>
      <w:r w:rsidRPr="00F76D35">
        <w:rPr>
          <w:rFonts w:ascii="Times New Roman" w:hAnsi="Times New Roman"/>
          <w:i/>
          <w:sz w:val="28"/>
          <w:szCs w:val="28"/>
          <w:lang w:val="uk-UA"/>
        </w:rPr>
        <w:t xml:space="preserve"> </w:t>
      </w:r>
      <w:proofErr w:type="spellStart"/>
      <w:r w:rsidRPr="00F76D35">
        <w:rPr>
          <w:rFonts w:ascii="Times New Roman" w:hAnsi="Times New Roman"/>
          <w:i/>
          <w:sz w:val="28"/>
          <w:szCs w:val="28"/>
          <w:lang w:val="uk-UA"/>
        </w:rPr>
        <w:t>der</w:t>
      </w:r>
      <w:proofErr w:type="spellEnd"/>
      <w:r w:rsidRPr="00F76D35">
        <w:rPr>
          <w:rFonts w:ascii="Times New Roman" w:hAnsi="Times New Roman"/>
          <w:i/>
          <w:sz w:val="28"/>
          <w:szCs w:val="28"/>
          <w:lang w:val="uk-UA"/>
        </w:rPr>
        <w:t xml:space="preserve"> </w:t>
      </w:r>
      <w:proofErr w:type="spellStart"/>
      <w:r w:rsidRPr="00F76D35">
        <w:rPr>
          <w:rFonts w:ascii="Times New Roman" w:hAnsi="Times New Roman"/>
          <w:i/>
          <w:sz w:val="28"/>
          <w:szCs w:val="28"/>
          <w:lang w:val="uk-UA"/>
        </w:rPr>
        <w:t>uberwiegenden</w:t>
      </w:r>
      <w:proofErr w:type="spellEnd"/>
      <w:r w:rsidRPr="00F76D35">
        <w:rPr>
          <w:rFonts w:ascii="Times New Roman" w:hAnsi="Times New Roman"/>
          <w:i/>
          <w:sz w:val="28"/>
          <w:szCs w:val="28"/>
          <w:lang w:val="uk-UA"/>
        </w:rPr>
        <w:t xml:space="preserve"> </w:t>
      </w:r>
      <w:proofErr w:type="spellStart"/>
      <w:r w:rsidRPr="00F76D35">
        <w:rPr>
          <w:rFonts w:ascii="Times New Roman" w:hAnsi="Times New Roman"/>
          <w:i/>
          <w:sz w:val="28"/>
          <w:szCs w:val="28"/>
          <w:lang w:val="uk-UA"/>
        </w:rPr>
        <w:t>Wahrscheinlichkeit</w:t>
      </w:r>
      <w:proofErr w:type="spellEnd"/>
      <w:r w:rsidRPr="00F76D35">
        <w:rPr>
          <w:rFonts w:ascii="Times New Roman" w:hAnsi="Times New Roman"/>
          <w:i/>
          <w:sz w:val="28"/>
          <w:szCs w:val="28"/>
          <w:lang w:val="uk-UA"/>
        </w:rPr>
        <w:t>)..., можна припустити, що заявниця, навіть якби її здоров’я не мало вад, опікувалася б тільки домашнім господарством та материнськими обов’язками»</w:t>
      </w:r>
      <w:r w:rsidRPr="00F76D35">
        <w:rPr>
          <w:rFonts w:ascii="Times New Roman" w:hAnsi="Times New Roman"/>
          <w:sz w:val="28"/>
          <w:szCs w:val="28"/>
          <w:lang w:val="uk-UA"/>
        </w:rPr>
        <w:t>.</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 xml:space="preserve">На думку суду, з огляду на викладене зникла потреба встановлювати, чи була пані </w:t>
      </w:r>
      <w:proofErr w:type="spellStart"/>
      <w:r w:rsidRPr="00F76D35">
        <w:rPr>
          <w:rFonts w:ascii="Times New Roman" w:hAnsi="Times New Roman"/>
          <w:sz w:val="28"/>
          <w:szCs w:val="28"/>
          <w:lang w:val="uk-UA"/>
        </w:rPr>
        <w:t>Шулер-Цґраґґен</w:t>
      </w:r>
      <w:proofErr w:type="spellEnd"/>
      <w:r w:rsidRPr="00F76D35">
        <w:rPr>
          <w:rFonts w:ascii="Times New Roman" w:hAnsi="Times New Roman"/>
          <w:sz w:val="28"/>
          <w:szCs w:val="28"/>
          <w:lang w:val="uk-UA"/>
        </w:rPr>
        <w:t xml:space="preserve"> спроможна працювати на попередньому місці роботи; питання радше полягало в тому, щоб визначити, чи була заявниця взагалі і якою мірою обмежена у своїй здатності виконувати обов’язки матері та домогосподарки.</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У скарзі до ЄСПЛ заявниця вказувала, що, здійснюючи своє право на справедливий судовий розгляд, вона зазнала дискримінації за ознакою статі, що суперечить ст. 14 Конвенції.</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 xml:space="preserve">ЄСПЛ зазначив, що Федеральний страховий суд цілковито довірився припущенню, що жінки залишають роботу після народження дитини, і не зробив жодної спроби перевірити обґрунтованість цього припущення, не </w:t>
      </w:r>
      <w:r w:rsidRPr="00F76D35">
        <w:rPr>
          <w:rFonts w:ascii="Times New Roman" w:hAnsi="Times New Roman"/>
          <w:sz w:val="28"/>
          <w:szCs w:val="28"/>
          <w:lang w:val="uk-UA"/>
        </w:rPr>
        <w:lastRenderedPageBreak/>
        <w:t>зваживши на контраргументи. Далі ЄСПЛ зауважив, що у такому вигляді це припущення виглядає єдиною підставою, на якій ґрунтується мотивація суду, а отже, має вирішальне значення і запроваджує відмінність у ставленні винятково за ознакою статі.</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Подальше забезпечення рівності статей у державах – членах Ради Європи є нині одним із головних завдань, і для того щоб таку відмінність у ставленні можна було вважати сумісною з Конвенцією, потрібні дуже істотні причини, яких у цій справі Суд не вбачає, а тому робить висновок, що, з огляду на відсутність будь-якого раціонального, об’єктивного обґрунтування, мало місце порушення ст. 14 у поєднанні з п. 1 ст. 6 Конвенції [738].</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Заявник у справі «</w:t>
      </w:r>
      <w:proofErr w:type="spellStart"/>
      <w:r w:rsidRPr="00F76D35">
        <w:rPr>
          <w:rFonts w:ascii="Times New Roman" w:hAnsi="Times New Roman"/>
          <w:b/>
          <w:sz w:val="28"/>
          <w:szCs w:val="28"/>
          <w:lang w:val="uk-UA"/>
        </w:rPr>
        <w:t>Петровіч</w:t>
      </w:r>
      <w:proofErr w:type="spellEnd"/>
      <w:r w:rsidRPr="00F76D35">
        <w:rPr>
          <w:rFonts w:ascii="Times New Roman" w:hAnsi="Times New Roman"/>
          <w:b/>
          <w:sz w:val="28"/>
          <w:szCs w:val="28"/>
          <w:lang w:val="uk-UA"/>
        </w:rPr>
        <w:t xml:space="preserve"> проти Австрії</w:t>
      </w:r>
      <w:r w:rsidRPr="00F76D35">
        <w:rPr>
          <w:rFonts w:ascii="Times New Roman" w:hAnsi="Times New Roman"/>
          <w:sz w:val="28"/>
          <w:szCs w:val="28"/>
          <w:lang w:val="uk-UA"/>
        </w:rPr>
        <w:t>» (</w:t>
      </w:r>
      <w:proofErr w:type="spellStart"/>
      <w:r w:rsidRPr="00F76D35">
        <w:rPr>
          <w:rFonts w:ascii="Times New Roman" w:hAnsi="Times New Roman"/>
          <w:sz w:val="28"/>
          <w:szCs w:val="28"/>
          <w:lang w:val="uk-UA"/>
        </w:rPr>
        <w:t>Petrovic</w:t>
      </w:r>
      <w:proofErr w:type="spellEnd"/>
      <w:r w:rsidRPr="00F76D35">
        <w:rPr>
          <w:rFonts w:ascii="Times New Roman" w:hAnsi="Times New Roman"/>
          <w:sz w:val="28"/>
          <w:szCs w:val="28"/>
          <w:lang w:val="uk-UA"/>
        </w:rPr>
        <w:t xml:space="preserve"> v. </w:t>
      </w:r>
      <w:proofErr w:type="spellStart"/>
      <w:r w:rsidRPr="00F76D35">
        <w:rPr>
          <w:rFonts w:ascii="Times New Roman" w:hAnsi="Times New Roman"/>
          <w:sz w:val="28"/>
          <w:szCs w:val="28"/>
          <w:lang w:val="uk-UA"/>
        </w:rPr>
        <w:t>Austria</w:t>
      </w:r>
      <w:proofErr w:type="spellEnd"/>
      <w:r w:rsidRPr="00F76D35">
        <w:rPr>
          <w:rFonts w:ascii="Times New Roman" w:hAnsi="Times New Roman"/>
          <w:sz w:val="28"/>
          <w:szCs w:val="28"/>
          <w:lang w:val="uk-UA"/>
        </w:rPr>
        <w:t>) взяв відпустку по догляду за дитиною, коли був студентом і працював неповний робочий день. Його дружина, яка вже закінчила університетське навчання і працювала держслужбовцем у федеральному міністерстві, повернулася після народження дитини на роботу. Згодом заявник подав заяву щодо виплати допомоги по догляду за дитиною (</w:t>
      </w:r>
      <w:proofErr w:type="spellStart"/>
      <w:r w:rsidRPr="00F76D35">
        <w:rPr>
          <w:rFonts w:ascii="Times New Roman" w:hAnsi="Times New Roman"/>
          <w:sz w:val="28"/>
          <w:szCs w:val="28"/>
          <w:lang w:val="uk-UA"/>
        </w:rPr>
        <w:t>Karenzurlaubsgeld</w:t>
      </w:r>
      <w:proofErr w:type="spellEnd"/>
      <w:r w:rsidRPr="00F76D35">
        <w:rPr>
          <w:rFonts w:ascii="Times New Roman" w:hAnsi="Times New Roman"/>
          <w:sz w:val="28"/>
          <w:szCs w:val="28"/>
          <w:lang w:val="uk-UA"/>
        </w:rPr>
        <w:t xml:space="preserve">), проте йому було відмовлено на тій підставі, що закон (ст. 26 (1) Закону про допомогу безробітним 1977 р.) передбачав таку можливість лише для матері. Заявник оскаржив відмову в адміністративному порядку, стверджуючи, що це положення закону є дискримінаційним, а отже, неконституційним, а також звернувся до Конституційного суду, проте йому було відмовлено у прийнятті заяви. Посилаючись на свої попередні рішення, Конституційний суд постановив, що оскаржувана стаття не порушує конституційних прав заявника і не суперечить ст.ст. 8 і 12 Конвенції. </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 xml:space="preserve">У заяві до ЄСПЛ заявник стверджував, що різниця у поводженні щодо матері та батька стосовно виплати допомоги по догляду за дитиною цілковито необґрунтована. Допомога не має на меті захистити матерів, оскільки вона не виплачується до періоду 8 тижнів після народження дитини, але вона повинна підтримати батьків чи матерів, чи батьків – тих з них, хто бажає взяти відпустку по догляду за своїми дітьми. </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lastRenderedPageBreak/>
        <w:t xml:space="preserve">Суд встановив відсутність загальних стандартів для специфічних виплат соціальної допомоги, що відображає різноманітність схем соціального страхування у державах – членах Конвенції, проте не може виправдати ті держави, які гарантували схеми виплат без гарантування недискримінації. </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 xml:space="preserve">Зазначивши, що рівність статей є однією з головних цілей держав – членів Ради Європи, відтак, необхідні вкрай суттєві підстави для виправдання різниці у ставленні, Суд, однак, підтвердив, що ідея виплати фінансової допомоги матері чи батькові (на вибір подружжя) є відносно новою, і первинна мета цих виплат полягала у захисті матерів, аби вони могли доглядати малих дітей, і лише з розвитком інституту рівних прав та обов’язків чоловіків і жінок щодо їхніх дітей держави запровадили такі заходи, як право батьків на відпустку по догляду за дитиною. Водночас досі спостерігається різноманітність у правових системах держав у цій сфері. Проте, якщо право батька на відпустку визнається у більшості держав, цього не можна сказати про виплати, що гарантуються лише у невеликій кількості держав, і відмова австрійських органів надати заявнику допомогу у зв’язку з відпусткою по догляду за дитиною не виходить за межі свободи розсуду держав, а відтак, не є дискримінаційною в контексті ст. 14 Конвенції </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У справі «</w:t>
      </w:r>
      <w:r w:rsidRPr="00F76D35">
        <w:rPr>
          <w:rFonts w:ascii="Times New Roman" w:hAnsi="Times New Roman"/>
          <w:b/>
          <w:sz w:val="28"/>
          <w:szCs w:val="28"/>
          <w:lang w:val="uk-UA"/>
        </w:rPr>
        <w:t>Стек та інші проти Сполученого Королівства</w:t>
      </w:r>
      <w:r w:rsidRPr="00F76D35">
        <w:rPr>
          <w:rFonts w:ascii="Times New Roman" w:hAnsi="Times New Roman"/>
          <w:sz w:val="28"/>
          <w:szCs w:val="28"/>
          <w:lang w:val="uk-UA"/>
        </w:rPr>
        <w:t>» (</w:t>
      </w:r>
      <w:proofErr w:type="spellStart"/>
      <w:r w:rsidRPr="00F76D35">
        <w:rPr>
          <w:rFonts w:ascii="Times New Roman" w:hAnsi="Times New Roman"/>
          <w:sz w:val="28"/>
          <w:szCs w:val="28"/>
          <w:lang w:val="uk-UA"/>
        </w:rPr>
        <w:t>Stec</w:t>
      </w:r>
      <w:proofErr w:type="spellEnd"/>
      <w:r w:rsidRPr="00F76D35">
        <w:rPr>
          <w:rFonts w:ascii="Times New Roman" w:hAnsi="Times New Roman"/>
          <w:sz w:val="28"/>
          <w:szCs w:val="28"/>
          <w:lang w:val="uk-UA"/>
        </w:rPr>
        <w:t xml:space="preserve"> </w:t>
      </w:r>
      <w:proofErr w:type="spellStart"/>
      <w:r w:rsidRPr="00F76D35">
        <w:rPr>
          <w:rFonts w:ascii="Times New Roman" w:hAnsi="Times New Roman"/>
          <w:sz w:val="28"/>
          <w:szCs w:val="28"/>
          <w:lang w:val="uk-UA"/>
        </w:rPr>
        <w:t>and</w:t>
      </w:r>
      <w:proofErr w:type="spellEnd"/>
      <w:r w:rsidRPr="00F76D35">
        <w:rPr>
          <w:rFonts w:ascii="Times New Roman" w:hAnsi="Times New Roman"/>
          <w:sz w:val="28"/>
          <w:szCs w:val="28"/>
          <w:lang w:val="uk-UA"/>
        </w:rPr>
        <w:t xml:space="preserve"> </w:t>
      </w:r>
      <w:proofErr w:type="spellStart"/>
      <w:r w:rsidRPr="00F76D35">
        <w:rPr>
          <w:rFonts w:ascii="Times New Roman" w:hAnsi="Times New Roman"/>
          <w:sz w:val="28"/>
          <w:szCs w:val="28"/>
          <w:lang w:val="uk-UA"/>
        </w:rPr>
        <w:t>Others</w:t>
      </w:r>
      <w:proofErr w:type="spellEnd"/>
      <w:r w:rsidRPr="00F76D35">
        <w:rPr>
          <w:rFonts w:ascii="Times New Roman" w:hAnsi="Times New Roman"/>
          <w:sz w:val="28"/>
          <w:szCs w:val="28"/>
          <w:lang w:val="uk-UA"/>
        </w:rPr>
        <w:t xml:space="preserve"> v. UK) заявниці скаржилися на дискримінацію внаслідок запровадження державою нової схеми виплати допомоги (у зв’язку з професійним захворюванням чи трудовим каліцтвом), що визначається на підставі пенсійного віку, який є різним для чоловіків і жінок. ЄСПЛ відзначив, що рішення уряду про заміну виплати допомоги у зв’язку з досягненням особою пенсійного віку на відповідну пенсію меншого розміру відповідало легітимній меті та ґрунтувалося на розумних і об’єктивних підставах.</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 xml:space="preserve">Вирішуючи питання про те, чи різне ставлення щодо виплати зазначеної пенсії було виправдане відповідно до ст. 14 Конвенції, ЄСПЛ зазначив, що відмінність у визначенні пенсійного віку для чоловіків та жінок, </w:t>
      </w:r>
      <w:r w:rsidRPr="00F76D35">
        <w:rPr>
          <w:rFonts w:ascii="Times New Roman" w:hAnsi="Times New Roman"/>
          <w:sz w:val="28"/>
          <w:szCs w:val="28"/>
          <w:lang w:val="uk-UA"/>
        </w:rPr>
        <w:lastRenderedPageBreak/>
        <w:t>запроваджена у 1940 р., була зумовлена не стільки різницею в оплаті праці чоловіків та жінок, скільки традиційно неоплачуваними обов’язками жінки з догляду за родиною удома. Отже, метою встановлення нижчого пенсійного віку для жінок було виправлення фактично нерівного становища між чоловіками та жінками. Тому такий «нерівний» підхід був об’єктивно виправданий з погляду ст. 14 Конвенції.</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 xml:space="preserve">Суд зауважив, що відмінності пенсійного віку для чоловіків та жінок залишалися виправданими доти, доки не почали відбуватися соціальні зміни у побуті та сімейному житті загалом, які істотним чином поліпшували становище жінки. Такі зміни проходили поступово. Тому насправді важко, або навіть неможливо встановити якийсь конкретний момент, коли потреба компенсувати невигідний соціальний стан жінок обернувся вже несправедливістю щодо чоловіків, оскільки був пов’язаним зі встановленням для них вищої межі пенсійного віку. </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ЄСПЛ зазначив, що загалом дискримінація за ознакою статі може бути виправданою виключно за наявності «дуже істотних підстав», і зауважив, що балансування трудового життя чоловіків і жінок досягалось поступово. Однак «держави зазвичай мають дуже широку свободу розсуду в питаннях загальних заходів на виконання економічних та соціальних стратегій […]. Оскільки національні органи безпосередньо обізнані щодо ситуації в суспільстві та його потреб, вони загалом перебувають у кращому становищі порівняно з міжнародними суддями, аби оцінити, що найкраще відповідатиме публічному інтересу з соціальних чи економічних міркувань, і Суд зазвичай поважатиме рішення законодавчого органу, якщо тільки йому […] явно не бракуватиме розумного обґрунтування».</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ЄСПЛ дійшов висновку, що за своєю природою різний пенсійний вік фактично є формою «спеціальних заходів»: він покликаний компенсувати фінансові труднощі, які жінка може відчувати з огляду на свою традиційну роль у сім’ї, внаслідок чого в неї може бути відсутній самостійний грошовий дохід.</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lastRenderedPageBreak/>
        <w:t xml:space="preserve">Для Суду виявився істотним той факт, що чимало європейських країн надалі зберігають відмінності у пенсійному віці для чоловіків та для жінок, хоча деякі з них перебувають у процесі вирівнювання пенсійного віку. </w:t>
      </w:r>
    </w:p>
    <w:p w:rsidR="00F76D35" w:rsidRPr="00F76D35" w:rsidRDefault="00F76D35" w:rsidP="009B1EBB">
      <w:pPr>
        <w:spacing w:after="0" w:line="360" w:lineRule="auto"/>
        <w:ind w:firstLine="709"/>
        <w:jc w:val="both"/>
        <w:rPr>
          <w:rFonts w:ascii="Times New Roman" w:hAnsi="Times New Roman"/>
          <w:sz w:val="28"/>
          <w:szCs w:val="28"/>
        </w:rPr>
      </w:pPr>
      <w:r w:rsidRPr="00F76D35">
        <w:rPr>
          <w:rFonts w:ascii="Times New Roman" w:hAnsi="Times New Roman"/>
          <w:sz w:val="28"/>
          <w:szCs w:val="28"/>
          <w:lang w:val="uk-UA"/>
        </w:rPr>
        <w:t xml:space="preserve">Отже, зважаючи на такі чинники, як, по-перше, первинне обґрунтування нижчого пенсійного віку для жінок, метою усунення несправедливості в оплаті їх праці, по-друге, повільне поліпшення їхніх соціально-побутових умов і, по-третє, відсутність єдиного стандарту в європейських державах стосовно співвідношення пенсійного віку чоловіків та жінок, Суд дійшов висновку про те, що немає підстав критикувати уряд Сполученого Королівства за </w:t>
      </w:r>
      <w:proofErr w:type="spellStart"/>
      <w:r w:rsidRPr="00F76D35">
        <w:rPr>
          <w:rFonts w:ascii="Times New Roman" w:hAnsi="Times New Roman"/>
          <w:sz w:val="28"/>
          <w:szCs w:val="28"/>
          <w:lang w:val="uk-UA"/>
        </w:rPr>
        <w:t>незапровадження</w:t>
      </w:r>
      <w:proofErr w:type="spellEnd"/>
      <w:r w:rsidRPr="00F76D35">
        <w:rPr>
          <w:rFonts w:ascii="Times New Roman" w:hAnsi="Times New Roman"/>
          <w:sz w:val="28"/>
          <w:szCs w:val="28"/>
          <w:lang w:val="uk-UA"/>
        </w:rPr>
        <w:t xml:space="preserve"> єдиного пенсійного віку для чоловіків та жінок раніше. Тому Суд дійшов висновку, що не було порушення ст. 14 Конвенції у поєднанні зі ст. 1 </w:t>
      </w:r>
      <w:r w:rsidR="00624DF4">
        <w:rPr>
          <w:rFonts w:ascii="Times New Roman" w:hAnsi="Times New Roman"/>
          <w:sz w:val="28"/>
          <w:szCs w:val="28"/>
          <w:lang w:val="uk-UA"/>
        </w:rPr>
        <w:t xml:space="preserve">Першого протоколу до Конвенції </w:t>
      </w:r>
    </w:p>
    <w:p w:rsidR="00F76D35" w:rsidRPr="00F76D35" w:rsidRDefault="00F76D35" w:rsidP="009B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val="uk-UA" w:eastAsia="ru-RU"/>
        </w:rPr>
      </w:pPr>
      <w:r w:rsidRPr="00F76D35">
        <w:rPr>
          <w:rFonts w:ascii="Times New Roman" w:eastAsia="Times New Roman" w:hAnsi="Times New Roman"/>
          <w:sz w:val="28"/>
          <w:szCs w:val="28"/>
          <w:lang w:val="uk-UA" w:eastAsia="ru-RU"/>
        </w:rPr>
        <w:t>У справі «</w:t>
      </w:r>
      <w:r w:rsidRPr="00F76D35">
        <w:rPr>
          <w:rFonts w:ascii="Times New Roman" w:eastAsia="Times New Roman" w:hAnsi="Times New Roman"/>
          <w:b/>
          <w:sz w:val="28"/>
          <w:szCs w:val="28"/>
          <w:lang w:val="uk-UA" w:eastAsia="ru-RU"/>
        </w:rPr>
        <w:t>Вілліс проти Сполученого Королівства</w:t>
      </w:r>
      <w:r w:rsidRPr="00F76D35">
        <w:rPr>
          <w:rFonts w:ascii="Times New Roman" w:eastAsia="Times New Roman" w:hAnsi="Times New Roman"/>
          <w:sz w:val="28"/>
          <w:szCs w:val="28"/>
          <w:lang w:val="uk-UA" w:eastAsia="ru-RU"/>
        </w:rPr>
        <w:t>» (</w:t>
      </w:r>
      <w:proofErr w:type="spellStart"/>
      <w:r w:rsidRPr="00F76D35">
        <w:rPr>
          <w:rFonts w:ascii="Times New Roman" w:eastAsia="Times New Roman" w:hAnsi="Times New Roman"/>
          <w:sz w:val="28"/>
          <w:szCs w:val="28"/>
          <w:lang w:val="uk-UA" w:eastAsia="ru-RU"/>
        </w:rPr>
        <w:t>Willis</w:t>
      </w:r>
      <w:proofErr w:type="spellEnd"/>
      <w:r w:rsidRPr="00F76D35">
        <w:rPr>
          <w:rFonts w:ascii="Times New Roman" w:eastAsia="Times New Roman" w:hAnsi="Times New Roman"/>
          <w:sz w:val="28"/>
          <w:szCs w:val="28"/>
          <w:lang w:val="uk-UA" w:eastAsia="ru-RU"/>
        </w:rPr>
        <w:t xml:space="preserve"> v. </w:t>
      </w:r>
      <w:proofErr w:type="spellStart"/>
      <w:r w:rsidRPr="00F76D35">
        <w:rPr>
          <w:rFonts w:ascii="Times New Roman" w:eastAsia="Times New Roman" w:hAnsi="Times New Roman"/>
          <w:sz w:val="28"/>
          <w:szCs w:val="28"/>
          <w:lang w:val="uk-UA" w:eastAsia="ru-RU"/>
        </w:rPr>
        <w:t>the</w:t>
      </w:r>
      <w:proofErr w:type="spellEnd"/>
      <w:r w:rsidRPr="00F76D35">
        <w:rPr>
          <w:rFonts w:ascii="Times New Roman" w:eastAsia="Times New Roman" w:hAnsi="Times New Roman"/>
          <w:sz w:val="28"/>
          <w:szCs w:val="28"/>
          <w:lang w:val="uk-UA" w:eastAsia="ru-RU"/>
        </w:rPr>
        <w:t xml:space="preserve"> </w:t>
      </w:r>
      <w:proofErr w:type="spellStart"/>
      <w:r w:rsidRPr="00F76D35">
        <w:rPr>
          <w:rFonts w:ascii="Times New Roman" w:eastAsia="Times New Roman" w:hAnsi="Times New Roman"/>
          <w:sz w:val="28"/>
          <w:szCs w:val="28"/>
          <w:lang w:val="uk-UA" w:eastAsia="ru-RU"/>
        </w:rPr>
        <w:t>United</w:t>
      </w:r>
      <w:proofErr w:type="spellEnd"/>
      <w:r w:rsidRPr="00F76D35">
        <w:rPr>
          <w:rFonts w:ascii="Times New Roman" w:eastAsia="Times New Roman" w:hAnsi="Times New Roman"/>
          <w:sz w:val="28"/>
          <w:szCs w:val="28"/>
          <w:lang w:val="uk-UA" w:eastAsia="ru-RU"/>
        </w:rPr>
        <w:t xml:space="preserve"> </w:t>
      </w:r>
      <w:proofErr w:type="spellStart"/>
      <w:r w:rsidRPr="00F76D35">
        <w:rPr>
          <w:rFonts w:ascii="Times New Roman" w:eastAsia="Times New Roman" w:hAnsi="Times New Roman"/>
          <w:sz w:val="28"/>
          <w:szCs w:val="28"/>
          <w:lang w:val="uk-UA" w:eastAsia="ru-RU"/>
        </w:rPr>
        <w:t>Kingdom</w:t>
      </w:r>
      <w:proofErr w:type="spellEnd"/>
      <w:r w:rsidRPr="00F76D35">
        <w:rPr>
          <w:rFonts w:ascii="Times New Roman" w:eastAsia="Times New Roman" w:hAnsi="Times New Roman"/>
          <w:sz w:val="28"/>
          <w:szCs w:val="28"/>
          <w:lang w:val="uk-UA" w:eastAsia="ru-RU"/>
        </w:rPr>
        <w:t xml:space="preserve">) заявником був вдівець з двома неповнолітніми (на той час) дітьми. У віці 39 років померла від раку його дружина, залишивши йому право управляти її нерухомим майном. Пані Вілліс працювала службовцем місцевого житлового управління і більшу частину подружнього життя була основною годувальницею сім’ї. Вона до 1994 р. сплачувала всі внески із соціального забезпечення. З листопада 1995 р. п. Вілліс залишив роботу, щоб доглядати за дружиною та піклуватися про дітей. Після смерті дружини він працював неповний робочий день, але, оскільки така робота виявилася економічно невигідною, він залишив її, щоб присвятити піклуванню про дітей повний робочий день. Він подав заяву з проханням надати йому соціальне забезпечення в розмірі, еквівалентному допомозі, на яку б мала право пані Вілліс, тобто соціальну допомогу, яка сплачується вдові, а також соціальну допомогу, яка сплачується овдовілим матерям, згідно із Законом 1992 р. про соціальне забезпечення. Його заяву було відхилено. Єдиною підставою для відмови в наданні йому цих пільг було те, що він – чоловік. </w:t>
      </w:r>
      <w:r w:rsidRPr="00F76D35">
        <w:rPr>
          <w:rFonts w:ascii="Times New Roman" w:eastAsia="Times New Roman" w:hAnsi="Times New Roman"/>
          <w:sz w:val="28"/>
          <w:szCs w:val="28"/>
          <w:lang w:val="uk-UA" w:eastAsia="ru-RU"/>
        </w:rPr>
        <w:lastRenderedPageBreak/>
        <w:t xml:space="preserve">Жінка у такому самому становищі мала б право одержувати обидва види допомоги, і це право було б захищене позовом за національним законом. </w:t>
      </w:r>
      <w:bookmarkStart w:id="1" w:name="o33"/>
      <w:bookmarkEnd w:id="1"/>
    </w:p>
    <w:p w:rsidR="00F76D35" w:rsidRPr="00F76D35" w:rsidRDefault="00F76D35" w:rsidP="009B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val="uk-UA" w:eastAsia="ru-RU"/>
        </w:rPr>
      </w:pPr>
      <w:r w:rsidRPr="00F76D35">
        <w:rPr>
          <w:rFonts w:ascii="Times New Roman" w:eastAsia="Times New Roman" w:hAnsi="Times New Roman"/>
          <w:sz w:val="28"/>
          <w:szCs w:val="28"/>
          <w:lang w:val="uk-UA" w:eastAsia="ru-RU"/>
        </w:rPr>
        <w:t xml:space="preserve">Суд взяв до уваги те, що дружина заявника працювала протягом більшості років свого заміжжя, сплачуючи всі внески із соціального забезпечення як особа, що працює і утримує сім’ю, і так само, як це робив би чоловік у її становищі. Суд також узяв до уваги те, що заявник залишив роботу, щоб доглядати за дружиною та піклуватися про дітей і що, з огляду на свою відносно низьку заробітну плату, він вирішив, що після смерті дружини для нього буде економічно невигідним надалі працювати неповний робочий день. Незважаючи на все це, після смерті дружини він мав право на значно менші фінансові пільги, ніж ті, які б він мав, якби був жінкою, а його дружина – чоловіком. </w:t>
      </w:r>
      <w:bookmarkStart w:id="2" w:name="o34"/>
      <w:bookmarkEnd w:id="2"/>
    </w:p>
    <w:p w:rsidR="00F76D35" w:rsidRPr="00F76D35" w:rsidRDefault="00F76D35" w:rsidP="009B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val="uk-UA" w:eastAsia="ru-RU"/>
        </w:rPr>
      </w:pPr>
      <w:r w:rsidRPr="00F76D35">
        <w:rPr>
          <w:rFonts w:ascii="Times New Roman" w:eastAsia="Times New Roman" w:hAnsi="Times New Roman"/>
          <w:sz w:val="28"/>
          <w:szCs w:val="28"/>
          <w:lang w:val="uk-UA" w:eastAsia="ru-RU"/>
        </w:rPr>
        <w:t xml:space="preserve">Суд визнав, що різниця в підходах у наданні права чоловікам та жінкам на одержання соціальної допомоги вдовам та овдовілим матерям не мала будь-якого об’єктивного й розумного обґрунтування, а отже, було допущено порушено ст.14 Конвенції, взятої у поєднанні зі ст. 1 Протоколу № 1. </w:t>
      </w:r>
    </w:p>
    <w:p w:rsidR="00F76D35" w:rsidRPr="00F76D35" w:rsidRDefault="00F76D35" w:rsidP="009B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val="uk-UA" w:eastAsia="ru-RU"/>
        </w:rPr>
      </w:pPr>
      <w:bookmarkStart w:id="3" w:name="o35"/>
      <w:bookmarkStart w:id="4" w:name="o36"/>
      <w:bookmarkEnd w:id="3"/>
      <w:bookmarkEnd w:id="4"/>
      <w:r w:rsidRPr="00F76D35">
        <w:rPr>
          <w:rFonts w:ascii="Times New Roman" w:eastAsia="Times New Roman" w:hAnsi="Times New Roman"/>
          <w:sz w:val="28"/>
          <w:szCs w:val="28"/>
          <w:lang w:val="uk-UA" w:eastAsia="ru-RU"/>
        </w:rPr>
        <w:t xml:space="preserve">Щодо права заявника на пенсійне забезпечення, яке сплачується вдовам, ЄСПЛ дійшов висновку, що, оскільки заявник не зазнав поводження, відмінного від того, якого б зазнала жінка в аналогічному становищі, жодного питання про дискримінацію, на порушення ст. 14, стосовно його права на пенсію вдови не постає. Отже, Суд визнав, що порушення ст. 14, взятої у поєднані зі ст. 1 Протоколу № 1, допущено не було [731]. </w:t>
      </w:r>
    </w:p>
    <w:p w:rsidR="00F76D35" w:rsidRPr="00F76D35" w:rsidRDefault="00F76D35" w:rsidP="009B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val="uk-UA" w:eastAsia="ru-RU"/>
        </w:rPr>
      </w:pPr>
      <w:r w:rsidRPr="00F76D35">
        <w:rPr>
          <w:rFonts w:ascii="Times New Roman" w:eastAsia="Times New Roman" w:hAnsi="Times New Roman"/>
          <w:sz w:val="28"/>
          <w:szCs w:val="28"/>
          <w:lang w:val="uk-UA" w:eastAsia="ru-RU"/>
        </w:rPr>
        <w:t>Також у контексті трудових спорів необхідно звернути увагу на рішення ЄСПЛ: про покладення громадських обов’язків тільки на чоловіків як прояв дискримінації (</w:t>
      </w:r>
      <w:r w:rsidRPr="00F76D35">
        <w:rPr>
          <w:rFonts w:ascii="Times New Roman" w:eastAsia="Times New Roman" w:hAnsi="Times New Roman"/>
          <w:i/>
          <w:sz w:val="28"/>
          <w:szCs w:val="28"/>
          <w:lang w:val="uk-UA" w:eastAsia="ru-RU"/>
        </w:rPr>
        <w:t xml:space="preserve">рішення ЄСПЛ у справі </w:t>
      </w:r>
      <w:proofErr w:type="spellStart"/>
      <w:r w:rsidRPr="00F76D35">
        <w:rPr>
          <w:rFonts w:ascii="Times New Roman" w:eastAsia="Times New Roman" w:hAnsi="Times New Roman"/>
          <w:i/>
          <w:sz w:val="28"/>
          <w:szCs w:val="28"/>
          <w:lang w:val="uk-UA" w:eastAsia="ru-RU"/>
        </w:rPr>
        <w:t>Zarb</w:t>
      </w:r>
      <w:proofErr w:type="spellEnd"/>
      <w:r w:rsidRPr="00F76D35">
        <w:rPr>
          <w:rFonts w:ascii="Times New Roman" w:eastAsia="Times New Roman" w:hAnsi="Times New Roman"/>
          <w:i/>
          <w:sz w:val="28"/>
          <w:szCs w:val="28"/>
          <w:lang w:val="uk-UA" w:eastAsia="ru-RU"/>
        </w:rPr>
        <w:t xml:space="preserve"> </w:t>
      </w:r>
      <w:proofErr w:type="spellStart"/>
      <w:r w:rsidRPr="00F76D35">
        <w:rPr>
          <w:rFonts w:ascii="Times New Roman" w:eastAsia="Times New Roman" w:hAnsi="Times New Roman"/>
          <w:i/>
          <w:sz w:val="28"/>
          <w:szCs w:val="28"/>
          <w:lang w:val="uk-UA" w:eastAsia="ru-RU"/>
        </w:rPr>
        <w:t>Adami</w:t>
      </w:r>
      <w:proofErr w:type="spellEnd"/>
      <w:r w:rsidRPr="00F76D35">
        <w:rPr>
          <w:rFonts w:ascii="Times New Roman" w:eastAsia="Times New Roman" w:hAnsi="Times New Roman"/>
          <w:i/>
          <w:sz w:val="28"/>
          <w:szCs w:val="28"/>
          <w:lang w:val="uk-UA" w:eastAsia="ru-RU"/>
        </w:rPr>
        <w:t xml:space="preserve"> v. </w:t>
      </w:r>
      <w:proofErr w:type="spellStart"/>
      <w:r w:rsidRPr="00F76D35">
        <w:rPr>
          <w:rFonts w:ascii="Times New Roman" w:eastAsia="Times New Roman" w:hAnsi="Times New Roman"/>
          <w:i/>
          <w:sz w:val="28"/>
          <w:szCs w:val="28"/>
          <w:lang w:val="uk-UA" w:eastAsia="ru-RU"/>
        </w:rPr>
        <w:t>Malta</w:t>
      </w:r>
      <w:proofErr w:type="spellEnd"/>
      <w:r w:rsidRPr="00F76D35">
        <w:rPr>
          <w:rFonts w:ascii="Times New Roman" w:eastAsia="Times New Roman" w:hAnsi="Times New Roman"/>
          <w:i/>
          <w:sz w:val="28"/>
          <w:szCs w:val="28"/>
          <w:lang w:val="uk-UA" w:eastAsia="ru-RU"/>
        </w:rPr>
        <w:t xml:space="preserve"> від 20 червня 2006 р.</w:t>
      </w:r>
      <w:r w:rsidRPr="00F76D35">
        <w:rPr>
          <w:rFonts w:ascii="Times New Roman" w:eastAsia="Times New Roman" w:hAnsi="Times New Roman"/>
          <w:sz w:val="28"/>
          <w:szCs w:val="28"/>
          <w:lang w:val="uk-UA" w:eastAsia="ru-RU"/>
        </w:rPr>
        <w:t>) [741]; про відмову роботодавця змінити робочий розпорядок для жінки, яка доглядає малолітнього сина (</w:t>
      </w:r>
      <w:r w:rsidRPr="00F76D35">
        <w:rPr>
          <w:rFonts w:ascii="Times New Roman" w:eastAsia="Times New Roman" w:hAnsi="Times New Roman"/>
          <w:i/>
          <w:sz w:val="28"/>
          <w:szCs w:val="28"/>
          <w:lang w:val="uk-UA" w:eastAsia="ru-RU"/>
        </w:rPr>
        <w:t xml:space="preserve">рішення ЄСПЛ у справі </w:t>
      </w:r>
      <w:proofErr w:type="spellStart"/>
      <w:r w:rsidRPr="00F76D35">
        <w:rPr>
          <w:rFonts w:ascii="Times New Roman" w:eastAsia="Times New Roman" w:hAnsi="Times New Roman"/>
          <w:i/>
          <w:sz w:val="28"/>
          <w:szCs w:val="28"/>
          <w:lang w:val="uk-UA" w:eastAsia="ru-RU"/>
        </w:rPr>
        <w:t>Garcia</w:t>
      </w:r>
      <w:proofErr w:type="spellEnd"/>
      <w:r w:rsidRPr="00F76D35">
        <w:rPr>
          <w:rFonts w:ascii="Times New Roman" w:eastAsia="Times New Roman" w:hAnsi="Times New Roman"/>
          <w:i/>
          <w:sz w:val="28"/>
          <w:szCs w:val="28"/>
          <w:lang w:val="uk-UA" w:eastAsia="ru-RU"/>
        </w:rPr>
        <w:t xml:space="preserve"> </w:t>
      </w:r>
      <w:proofErr w:type="spellStart"/>
      <w:r w:rsidRPr="00F76D35">
        <w:rPr>
          <w:rFonts w:ascii="Times New Roman" w:eastAsia="Times New Roman" w:hAnsi="Times New Roman"/>
          <w:i/>
          <w:sz w:val="28"/>
          <w:szCs w:val="28"/>
          <w:lang w:val="uk-UA" w:eastAsia="ru-RU"/>
        </w:rPr>
        <w:t>Mateos</w:t>
      </w:r>
      <w:proofErr w:type="spellEnd"/>
      <w:r w:rsidRPr="00F76D35">
        <w:rPr>
          <w:rFonts w:ascii="Times New Roman" w:eastAsia="Times New Roman" w:hAnsi="Times New Roman"/>
          <w:i/>
          <w:sz w:val="28"/>
          <w:szCs w:val="28"/>
          <w:lang w:val="uk-UA" w:eastAsia="ru-RU"/>
        </w:rPr>
        <w:t xml:space="preserve"> v. </w:t>
      </w:r>
      <w:proofErr w:type="spellStart"/>
      <w:r w:rsidRPr="00F76D35">
        <w:rPr>
          <w:rFonts w:ascii="Times New Roman" w:eastAsia="Times New Roman" w:hAnsi="Times New Roman"/>
          <w:i/>
          <w:sz w:val="28"/>
          <w:szCs w:val="28"/>
          <w:lang w:val="uk-UA" w:eastAsia="ru-RU"/>
        </w:rPr>
        <w:t>Spain</w:t>
      </w:r>
      <w:proofErr w:type="spellEnd"/>
      <w:r w:rsidRPr="00F76D35">
        <w:rPr>
          <w:rFonts w:ascii="Times New Roman" w:eastAsia="Times New Roman" w:hAnsi="Times New Roman"/>
          <w:i/>
          <w:sz w:val="28"/>
          <w:szCs w:val="28"/>
          <w:lang w:val="uk-UA" w:eastAsia="ru-RU"/>
        </w:rPr>
        <w:t xml:space="preserve"> від 19 лютого 2013 р.</w:t>
      </w:r>
      <w:r w:rsidRPr="00F76D35">
        <w:rPr>
          <w:rFonts w:ascii="Times New Roman" w:eastAsia="Times New Roman" w:hAnsi="Times New Roman"/>
          <w:sz w:val="28"/>
          <w:szCs w:val="28"/>
          <w:lang w:val="uk-UA" w:eastAsia="ru-RU"/>
        </w:rPr>
        <w:t>) [735] тощо.</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b/>
          <w:sz w:val="28"/>
          <w:szCs w:val="28"/>
          <w:lang w:val="uk-UA"/>
        </w:rPr>
        <w:t xml:space="preserve">Рішення Європейського суду з прав людини у справі </w:t>
      </w:r>
      <w:proofErr w:type="spellStart"/>
      <w:r w:rsidRPr="00F76D35">
        <w:rPr>
          <w:rFonts w:ascii="Times New Roman" w:hAnsi="Times New Roman"/>
          <w:b/>
          <w:sz w:val="28"/>
          <w:szCs w:val="28"/>
          <w:lang w:val="uk-UA"/>
        </w:rPr>
        <w:t>Price</w:t>
      </w:r>
      <w:proofErr w:type="spellEnd"/>
      <w:r w:rsidRPr="00F76D35">
        <w:rPr>
          <w:rFonts w:ascii="Times New Roman" w:hAnsi="Times New Roman"/>
          <w:b/>
          <w:sz w:val="28"/>
          <w:szCs w:val="28"/>
          <w:lang w:val="uk-UA"/>
        </w:rPr>
        <w:t xml:space="preserve"> v. </w:t>
      </w:r>
      <w:proofErr w:type="spellStart"/>
      <w:r w:rsidRPr="00F76D35">
        <w:rPr>
          <w:rFonts w:ascii="Times New Roman" w:hAnsi="Times New Roman"/>
          <w:b/>
          <w:sz w:val="28"/>
          <w:szCs w:val="28"/>
          <w:lang w:val="uk-UA"/>
        </w:rPr>
        <w:t>the</w:t>
      </w:r>
      <w:proofErr w:type="spellEnd"/>
      <w:r w:rsidRPr="00F76D35">
        <w:rPr>
          <w:rFonts w:ascii="Times New Roman" w:hAnsi="Times New Roman"/>
          <w:b/>
          <w:sz w:val="28"/>
          <w:szCs w:val="28"/>
          <w:lang w:val="uk-UA"/>
        </w:rPr>
        <w:t xml:space="preserve"> </w:t>
      </w:r>
      <w:proofErr w:type="spellStart"/>
      <w:r w:rsidRPr="00F76D35">
        <w:rPr>
          <w:rFonts w:ascii="Times New Roman" w:hAnsi="Times New Roman"/>
          <w:b/>
          <w:sz w:val="28"/>
          <w:szCs w:val="28"/>
          <w:lang w:val="uk-UA"/>
        </w:rPr>
        <w:t>United</w:t>
      </w:r>
      <w:proofErr w:type="spellEnd"/>
      <w:r w:rsidRPr="00F76D35">
        <w:rPr>
          <w:rFonts w:ascii="Times New Roman" w:hAnsi="Times New Roman"/>
          <w:b/>
          <w:sz w:val="28"/>
          <w:szCs w:val="28"/>
          <w:lang w:val="uk-UA"/>
        </w:rPr>
        <w:t xml:space="preserve"> </w:t>
      </w:r>
      <w:proofErr w:type="spellStart"/>
      <w:r w:rsidRPr="00F76D35">
        <w:rPr>
          <w:rFonts w:ascii="Times New Roman" w:hAnsi="Times New Roman"/>
          <w:b/>
          <w:sz w:val="28"/>
          <w:szCs w:val="28"/>
          <w:lang w:val="uk-UA"/>
        </w:rPr>
        <w:t>Kingdom</w:t>
      </w:r>
      <w:proofErr w:type="spellEnd"/>
      <w:r w:rsidRPr="00F76D35">
        <w:rPr>
          <w:rFonts w:ascii="Times New Roman" w:hAnsi="Times New Roman"/>
          <w:b/>
          <w:sz w:val="28"/>
          <w:szCs w:val="28"/>
          <w:lang w:val="uk-UA"/>
        </w:rPr>
        <w:t xml:space="preserve"> від 10 липня 2001 р</w:t>
      </w:r>
      <w:r w:rsidRPr="00F76D35">
        <w:rPr>
          <w:rFonts w:ascii="Times New Roman" w:hAnsi="Times New Roman"/>
          <w:sz w:val="28"/>
          <w:szCs w:val="28"/>
          <w:lang w:val="uk-UA"/>
        </w:rPr>
        <w:t xml:space="preserve">. &lt;…&gt; Заявник, </w:t>
      </w:r>
      <w:proofErr w:type="spellStart"/>
      <w:r w:rsidRPr="00F76D35">
        <w:rPr>
          <w:rFonts w:ascii="Times New Roman" w:hAnsi="Times New Roman"/>
          <w:sz w:val="28"/>
          <w:szCs w:val="28"/>
          <w:lang w:val="uk-UA"/>
        </w:rPr>
        <w:t>Аделія</w:t>
      </w:r>
      <w:proofErr w:type="spellEnd"/>
      <w:r w:rsidRPr="00F76D35">
        <w:rPr>
          <w:rFonts w:ascii="Times New Roman" w:hAnsi="Times New Roman"/>
          <w:sz w:val="28"/>
          <w:szCs w:val="28"/>
          <w:lang w:val="uk-UA"/>
        </w:rPr>
        <w:t xml:space="preserve"> </w:t>
      </w:r>
      <w:proofErr w:type="spellStart"/>
      <w:r w:rsidRPr="00F76D35">
        <w:rPr>
          <w:rFonts w:ascii="Times New Roman" w:hAnsi="Times New Roman"/>
          <w:sz w:val="28"/>
          <w:szCs w:val="28"/>
          <w:lang w:val="uk-UA"/>
        </w:rPr>
        <w:t>Прайс</w:t>
      </w:r>
      <w:proofErr w:type="spellEnd"/>
      <w:r w:rsidRPr="00F76D35">
        <w:rPr>
          <w:rFonts w:ascii="Times New Roman" w:hAnsi="Times New Roman"/>
          <w:sz w:val="28"/>
          <w:szCs w:val="28"/>
          <w:lang w:val="uk-UA"/>
        </w:rPr>
        <w:t xml:space="preserve"> є </w:t>
      </w:r>
      <w:r w:rsidRPr="00F76D35">
        <w:rPr>
          <w:rFonts w:ascii="Times New Roman" w:hAnsi="Times New Roman"/>
          <w:sz w:val="28"/>
          <w:szCs w:val="28"/>
          <w:lang w:val="uk-UA"/>
        </w:rPr>
        <w:lastRenderedPageBreak/>
        <w:t xml:space="preserve">громадянкою Сполученого Королівства. Вона позбавлена чотирьох кінцівок, крім того, вона страждає на захворювання нирок. &lt;…&gt; Її було ув’язнено за неповагу до суду в цивільному процесі, оскільки п. </w:t>
      </w:r>
      <w:proofErr w:type="spellStart"/>
      <w:r w:rsidRPr="00F76D35">
        <w:rPr>
          <w:rFonts w:ascii="Times New Roman" w:hAnsi="Times New Roman"/>
          <w:sz w:val="28"/>
          <w:szCs w:val="28"/>
          <w:lang w:val="uk-UA"/>
        </w:rPr>
        <w:t>Прайс</w:t>
      </w:r>
      <w:proofErr w:type="spellEnd"/>
      <w:r w:rsidRPr="00F76D35">
        <w:rPr>
          <w:rFonts w:ascii="Times New Roman" w:hAnsi="Times New Roman"/>
          <w:sz w:val="28"/>
          <w:szCs w:val="28"/>
          <w:lang w:val="uk-UA"/>
        </w:rPr>
        <w:t xml:space="preserve"> відмовилася відповідати на питання, пов’язані з її матеріальним становищем. Одну ніч вона провела у поліцейському відділку, де камера, обладнана дерев’яним ліжком і матрацом, не була пристосована для інвалідів. П. </w:t>
      </w:r>
      <w:proofErr w:type="spellStart"/>
      <w:r w:rsidRPr="00F76D35">
        <w:rPr>
          <w:rFonts w:ascii="Times New Roman" w:hAnsi="Times New Roman"/>
          <w:sz w:val="28"/>
          <w:szCs w:val="28"/>
          <w:lang w:val="uk-UA"/>
        </w:rPr>
        <w:t>Прайс</w:t>
      </w:r>
      <w:proofErr w:type="spellEnd"/>
      <w:r w:rsidRPr="00F76D35">
        <w:rPr>
          <w:rFonts w:ascii="Times New Roman" w:hAnsi="Times New Roman"/>
          <w:sz w:val="28"/>
          <w:szCs w:val="28"/>
          <w:lang w:val="uk-UA"/>
        </w:rPr>
        <w:t xml:space="preserve"> довелось спати на інвалідному візку. П. </w:t>
      </w:r>
      <w:proofErr w:type="spellStart"/>
      <w:r w:rsidRPr="00F76D35">
        <w:rPr>
          <w:rFonts w:ascii="Times New Roman" w:hAnsi="Times New Roman"/>
          <w:sz w:val="28"/>
          <w:szCs w:val="28"/>
          <w:lang w:val="uk-UA"/>
        </w:rPr>
        <w:t>Прайс</w:t>
      </w:r>
      <w:proofErr w:type="spellEnd"/>
      <w:r w:rsidRPr="00F76D35">
        <w:rPr>
          <w:rFonts w:ascii="Times New Roman" w:hAnsi="Times New Roman"/>
          <w:sz w:val="28"/>
          <w:szCs w:val="28"/>
          <w:lang w:val="uk-UA"/>
        </w:rPr>
        <w:t xml:space="preserve"> також не могла скористатися туалетом, оскільки він був вищим за інвалідне крісло, а отже, недосяжним для неї. Під час перебування п. </w:t>
      </w:r>
      <w:proofErr w:type="spellStart"/>
      <w:r w:rsidRPr="00F76D35">
        <w:rPr>
          <w:rFonts w:ascii="Times New Roman" w:hAnsi="Times New Roman"/>
          <w:sz w:val="28"/>
          <w:szCs w:val="28"/>
          <w:lang w:val="uk-UA"/>
        </w:rPr>
        <w:t>Прайс</w:t>
      </w:r>
      <w:proofErr w:type="spellEnd"/>
      <w:r w:rsidRPr="00F76D35">
        <w:rPr>
          <w:rFonts w:ascii="Times New Roman" w:hAnsi="Times New Roman"/>
          <w:sz w:val="28"/>
          <w:szCs w:val="28"/>
          <w:lang w:val="uk-UA"/>
        </w:rPr>
        <w:t xml:space="preserve"> у камері записи варти засвідчили факти її скарг на холод через кожні півгодини, що є серйозною проблемою для особи, яка страждає на хворобу нирок і водночас не може рухатися, аби зігрітися. Врешті-решт було викликано лікаря, який засвідчив неможливість використання п. </w:t>
      </w:r>
      <w:proofErr w:type="spellStart"/>
      <w:r w:rsidRPr="00F76D35">
        <w:rPr>
          <w:rFonts w:ascii="Times New Roman" w:hAnsi="Times New Roman"/>
          <w:sz w:val="28"/>
          <w:szCs w:val="28"/>
          <w:lang w:val="uk-UA"/>
        </w:rPr>
        <w:t>Прайс</w:t>
      </w:r>
      <w:proofErr w:type="spellEnd"/>
      <w:r w:rsidRPr="00F76D35">
        <w:rPr>
          <w:rFonts w:ascii="Times New Roman" w:hAnsi="Times New Roman"/>
          <w:sz w:val="28"/>
          <w:szCs w:val="28"/>
          <w:lang w:val="uk-UA"/>
        </w:rPr>
        <w:t xml:space="preserve"> ліжка в камері, а отже, необхідність для неї спати в інвалідному кріслі, непристосованість камери до потреб інвалідів та недостатній температурний режим у приміщенні. З боку офіцерів поліції, відповідальних за ув’язнення п. </w:t>
      </w:r>
      <w:proofErr w:type="spellStart"/>
      <w:r w:rsidRPr="00F76D35">
        <w:rPr>
          <w:rFonts w:ascii="Times New Roman" w:hAnsi="Times New Roman"/>
          <w:sz w:val="28"/>
          <w:szCs w:val="28"/>
          <w:lang w:val="uk-UA"/>
        </w:rPr>
        <w:t>Прайс</w:t>
      </w:r>
      <w:proofErr w:type="spellEnd"/>
      <w:r w:rsidRPr="00F76D35">
        <w:rPr>
          <w:rFonts w:ascii="Times New Roman" w:hAnsi="Times New Roman"/>
          <w:sz w:val="28"/>
          <w:szCs w:val="28"/>
          <w:lang w:val="uk-UA"/>
        </w:rPr>
        <w:t>, не було вжито жодних заходів, спрямованих на переведення її у більш пристосоване приміщення або на звільнення. Натомість п. </w:t>
      </w:r>
      <w:proofErr w:type="spellStart"/>
      <w:r w:rsidRPr="00F76D35">
        <w:rPr>
          <w:rFonts w:ascii="Times New Roman" w:hAnsi="Times New Roman"/>
          <w:sz w:val="28"/>
          <w:szCs w:val="28"/>
          <w:lang w:val="uk-UA"/>
        </w:rPr>
        <w:t>Прайс</w:t>
      </w:r>
      <w:proofErr w:type="spellEnd"/>
      <w:r w:rsidRPr="00F76D35">
        <w:rPr>
          <w:rFonts w:ascii="Times New Roman" w:hAnsi="Times New Roman"/>
          <w:sz w:val="28"/>
          <w:szCs w:val="28"/>
          <w:lang w:val="uk-UA"/>
        </w:rPr>
        <w:t xml:space="preserve"> провела цілу ніч у камері, хоча лікар і вкрив її простирадлом та дав кілька знеболюючих таблеток.</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&lt;…&gt; Наступного дня п. </w:t>
      </w:r>
      <w:proofErr w:type="spellStart"/>
      <w:r w:rsidRPr="00F76D35">
        <w:rPr>
          <w:rFonts w:ascii="Times New Roman" w:hAnsi="Times New Roman"/>
          <w:sz w:val="28"/>
          <w:szCs w:val="28"/>
          <w:lang w:val="uk-UA"/>
        </w:rPr>
        <w:t>Прайс</w:t>
      </w:r>
      <w:proofErr w:type="spellEnd"/>
      <w:r w:rsidRPr="00F76D35">
        <w:rPr>
          <w:rFonts w:ascii="Times New Roman" w:hAnsi="Times New Roman"/>
          <w:sz w:val="28"/>
          <w:szCs w:val="28"/>
          <w:lang w:val="uk-UA"/>
        </w:rPr>
        <w:t xml:space="preserve"> була переведена до жіночої в’язниці у м. </w:t>
      </w:r>
      <w:proofErr w:type="spellStart"/>
      <w:r w:rsidRPr="00F76D35">
        <w:rPr>
          <w:rFonts w:ascii="Times New Roman" w:hAnsi="Times New Roman"/>
          <w:sz w:val="28"/>
          <w:szCs w:val="28"/>
          <w:lang w:val="uk-UA"/>
        </w:rPr>
        <w:t>Вейкфілд</w:t>
      </w:r>
      <w:proofErr w:type="spellEnd"/>
      <w:r w:rsidRPr="00F76D35">
        <w:rPr>
          <w:rFonts w:ascii="Times New Roman" w:hAnsi="Times New Roman"/>
          <w:sz w:val="28"/>
          <w:szCs w:val="28"/>
          <w:lang w:val="uk-UA"/>
        </w:rPr>
        <w:t>, де вона перебувала в ув’язненні у приміщенні медичного центру установи до 23 січня 1995 р., її камера була обладнана ширшими дверима для інвалідного крісла, ручками на унітазі та гідравлічним лікарським ліжком. Однак і там у неї виникали проблеми зі сном, оскільки ліжко було надто високе, а також із засобами гігієни. У медичному журналі було зафіксовано, що протягом першої ночі перебування п. </w:t>
      </w:r>
      <w:proofErr w:type="spellStart"/>
      <w:r w:rsidRPr="00F76D35">
        <w:rPr>
          <w:rFonts w:ascii="Times New Roman" w:hAnsi="Times New Roman"/>
          <w:sz w:val="28"/>
          <w:szCs w:val="28"/>
          <w:lang w:val="uk-UA"/>
        </w:rPr>
        <w:t>Прайс</w:t>
      </w:r>
      <w:proofErr w:type="spellEnd"/>
      <w:r w:rsidRPr="00F76D35">
        <w:rPr>
          <w:rFonts w:ascii="Times New Roman" w:hAnsi="Times New Roman"/>
          <w:sz w:val="28"/>
          <w:szCs w:val="28"/>
          <w:lang w:val="uk-UA"/>
        </w:rPr>
        <w:t xml:space="preserve"> у в’язниці медсестра не могла самостійно підняти заявницю і та, таким чином, мала проблеми у користуванні туалетом. П. </w:t>
      </w:r>
      <w:proofErr w:type="spellStart"/>
      <w:r w:rsidRPr="00F76D35">
        <w:rPr>
          <w:rFonts w:ascii="Times New Roman" w:hAnsi="Times New Roman"/>
          <w:sz w:val="28"/>
          <w:szCs w:val="28"/>
          <w:lang w:val="uk-UA"/>
        </w:rPr>
        <w:t>Прайс</w:t>
      </w:r>
      <w:proofErr w:type="spellEnd"/>
      <w:r w:rsidRPr="00F76D35">
        <w:rPr>
          <w:rFonts w:ascii="Times New Roman" w:hAnsi="Times New Roman"/>
          <w:sz w:val="28"/>
          <w:szCs w:val="28"/>
          <w:lang w:val="uk-UA"/>
        </w:rPr>
        <w:t xml:space="preserve"> вважає, що вона зазнала винятково принизливого поводження з боку офіцерів поліції чоловічої статі, які допомагали медсестрі піднімати її. Уряд заперечив таке твердження </w:t>
      </w:r>
      <w:r w:rsidRPr="00F76D35">
        <w:rPr>
          <w:rFonts w:ascii="Times New Roman" w:hAnsi="Times New Roman"/>
          <w:sz w:val="28"/>
          <w:szCs w:val="28"/>
          <w:lang w:val="uk-UA"/>
        </w:rPr>
        <w:lastRenderedPageBreak/>
        <w:t>п. </w:t>
      </w:r>
      <w:proofErr w:type="spellStart"/>
      <w:r w:rsidRPr="00F76D35">
        <w:rPr>
          <w:rFonts w:ascii="Times New Roman" w:hAnsi="Times New Roman"/>
          <w:sz w:val="28"/>
          <w:szCs w:val="28"/>
          <w:lang w:val="uk-UA"/>
        </w:rPr>
        <w:t>Прайс</w:t>
      </w:r>
      <w:proofErr w:type="spellEnd"/>
      <w:r w:rsidRPr="00F76D35">
        <w:rPr>
          <w:rFonts w:ascii="Times New Roman" w:hAnsi="Times New Roman"/>
          <w:sz w:val="28"/>
          <w:szCs w:val="28"/>
          <w:lang w:val="uk-UA"/>
        </w:rPr>
        <w:t>, однак визнав, що офіцери поліції чоловічої статі допомагали медсестрі піднімати і знімати п. </w:t>
      </w:r>
      <w:proofErr w:type="spellStart"/>
      <w:r w:rsidRPr="00F76D35">
        <w:rPr>
          <w:rFonts w:ascii="Times New Roman" w:hAnsi="Times New Roman"/>
          <w:sz w:val="28"/>
          <w:szCs w:val="28"/>
          <w:lang w:val="uk-UA"/>
        </w:rPr>
        <w:t>Прайс</w:t>
      </w:r>
      <w:proofErr w:type="spellEnd"/>
      <w:r w:rsidRPr="00F76D35">
        <w:rPr>
          <w:rFonts w:ascii="Times New Roman" w:hAnsi="Times New Roman"/>
          <w:sz w:val="28"/>
          <w:szCs w:val="28"/>
          <w:lang w:val="uk-UA"/>
        </w:rPr>
        <w:t xml:space="preserve"> з туалету.</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До моменту звільнення з в’язниці п. </w:t>
      </w:r>
      <w:proofErr w:type="spellStart"/>
      <w:r w:rsidRPr="00F76D35">
        <w:rPr>
          <w:rFonts w:ascii="Times New Roman" w:hAnsi="Times New Roman"/>
          <w:sz w:val="28"/>
          <w:szCs w:val="28"/>
          <w:lang w:val="uk-UA"/>
        </w:rPr>
        <w:t>Прайс</w:t>
      </w:r>
      <w:proofErr w:type="spellEnd"/>
      <w:r w:rsidRPr="00F76D35">
        <w:rPr>
          <w:rFonts w:ascii="Times New Roman" w:hAnsi="Times New Roman"/>
          <w:sz w:val="28"/>
          <w:szCs w:val="28"/>
          <w:lang w:val="uk-UA"/>
        </w:rPr>
        <w:t xml:space="preserve"> було поставлено катетер. Необхідність такої дії викликалася недостатністю рідини в організмі, а також тим, що внаслідок означених проблем стосовно доступу до туалету у п. </w:t>
      </w:r>
      <w:proofErr w:type="spellStart"/>
      <w:r w:rsidRPr="00F76D35">
        <w:rPr>
          <w:rFonts w:ascii="Times New Roman" w:hAnsi="Times New Roman"/>
          <w:sz w:val="28"/>
          <w:szCs w:val="28"/>
          <w:lang w:val="uk-UA"/>
        </w:rPr>
        <w:t>Прайс</w:t>
      </w:r>
      <w:proofErr w:type="spellEnd"/>
      <w:r w:rsidRPr="00F76D35">
        <w:rPr>
          <w:rFonts w:ascii="Times New Roman" w:hAnsi="Times New Roman"/>
          <w:sz w:val="28"/>
          <w:szCs w:val="28"/>
          <w:lang w:val="uk-UA"/>
        </w:rPr>
        <w:t xml:space="preserve"> сталася затримка сечі.</w:t>
      </w:r>
    </w:p>
    <w:p w:rsidR="00624DF4" w:rsidRPr="00624DF4"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 xml:space="preserve">&lt;…&gt; Суд зазначив, що мало місце порушення ст. 3 (заборона нелюдського та такого, що принижує гідність поводження) Конвенції. Він встановив, що, зокрема, те, що тримання під вартою людини із серйозною інвалідністю в умовах, коли їй було дуже холодно, загроза загостренню хвороби внаслідок того, що ліжко було дуже твердим чи недосяжним, і що вона не могла скористатись туалетом чи помитись, не прикладаючи надмірних зусиль, було поводженням, яке принижує людську гідність, що заборонено ст. 3 Конвенції </w:t>
      </w:r>
    </w:p>
    <w:p w:rsidR="00F76D35" w:rsidRPr="00F76D35" w:rsidRDefault="00F76D35" w:rsidP="009B1EBB">
      <w:pPr>
        <w:spacing w:after="0" w:line="360" w:lineRule="auto"/>
        <w:ind w:firstLine="709"/>
        <w:jc w:val="both"/>
        <w:rPr>
          <w:rFonts w:ascii="Times New Roman" w:hAnsi="Times New Roman"/>
          <w:sz w:val="28"/>
          <w:szCs w:val="28"/>
        </w:rPr>
      </w:pPr>
      <w:r w:rsidRPr="00F76D35">
        <w:rPr>
          <w:rFonts w:ascii="Times New Roman" w:hAnsi="Times New Roman"/>
          <w:sz w:val="28"/>
          <w:szCs w:val="28"/>
          <w:lang w:val="uk-UA"/>
        </w:rPr>
        <w:t>З жовтня 2011 р. на підтримку судової реформи в Україні працював проект Агентства США з міжнародного розвитку (USAID) «Справедливе правосуддя». Метою проекту було сприяння утвердженню верховенства права в Україні через зміцнення суддівської незалежності, підвищення рівня прозорості та підзвітності судової системи, підвищення рівня обізнаності громадян із діяльністю судової влади задля зростання довіри суспільства до неї. Діяльність проекту ґрунтувалось на досягненнях попереднього Проекту USAID «Україна: верховенство права», який реалізовувався з 2006 р. по вересень 2011 р. в рамках Угоди про співробітництво між Урядом України та Урядом Сполучених Штатів. У вересні 2013 р. Проект USAID «Справедливе правосуддя» було продовжено (з 1 жовтня 2013 р. по 30 вересня 2016 р.</w:t>
      </w:r>
      <w:r w:rsidR="00624DF4">
        <w:rPr>
          <w:rFonts w:ascii="Times New Roman" w:hAnsi="Times New Roman"/>
          <w:sz w:val="28"/>
          <w:szCs w:val="28"/>
          <w:lang w:val="uk-UA"/>
        </w:rPr>
        <w:t xml:space="preserve">) </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 xml:space="preserve">Слід зауважити, що поширеним у діяльності органів судової влади є: абстрактне посилання на практику ЄСПЛ, що проявляється у посиланні без конкретного рішення; розбіжність норм нормативно-правових актів України й відповідної справи Європейського суду з прав людини. Також у діяльності </w:t>
      </w:r>
      <w:r w:rsidRPr="00F76D35">
        <w:rPr>
          <w:rFonts w:ascii="Times New Roman" w:hAnsi="Times New Roman"/>
          <w:sz w:val="28"/>
          <w:szCs w:val="28"/>
          <w:lang w:val="uk-UA"/>
        </w:rPr>
        <w:lastRenderedPageBreak/>
        <w:t xml:space="preserve">органів судової влади відсутніми є єдині критерії застосування практики ЄСПЛ. </w:t>
      </w:r>
    </w:p>
    <w:p w:rsidR="00624DF4" w:rsidRPr="00624DF4" w:rsidRDefault="00624DF4" w:rsidP="009B1EBB">
      <w:pPr>
        <w:spacing w:after="0" w:line="360" w:lineRule="auto"/>
        <w:ind w:firstLine="709"/>
        <w:jc w:val="both"/>
        <w:rPr>
          <w:rFonts w:ascii="Times New Roman" w:hAnsi="Times New Roman"/>
          <w:b/>
          <w:sz w:val="28"/>
          <w:szCs w:val="28"/>
          <w:lang w:val="uk-UA"/>
        </w:rPr>
      </w:pPr>
      <w:r w:rsidRPr="00624DF4">
        <w:rPr>
          <w:rFonts w:ascii="Times New Roman" w:hAnsi="Times New Roman"/>
          <w:b/>
          <w:sz w:val="28"/>
          <w:szCs w:val="28"/>
          <w:lang w:val="uk-UA"/>
        </w:rPr>
        <w:t>ВИСНОВКИ ДО ЧЕТВЕРТОГО ПИТАННЯ</w:t>
      </w:r>
    </w:p>
    <w:p w:rsidR="00F76D35" w:rsidRPr="00F76D35" w:rsidRDefault="00F76D35" w:rsidP="009B1EBB">
      <w:pPr>
        <w:spacing w:after="0" w:line="360" w:lineRule="auto"/>
        <w:ind w:firstLine="709"/>
        <w:jc w:val="both"/>
        <w:rPr>
          <w:rFonts w:ascii="Times New Roman" w:hAnsi="Times New Roman"/>
          <w:sz w:val="28"/>
          <w:szCs w:val="28"/>
          <w:lang w:val="uk-UA"/>
        </w:rPr>
      </w:pPr>
      <w:r w:rsidRPr="00F76D35">
        <w:rPr>
          <w:rFonts w:ascii="Times New Roman" w:hAnsi="Times New Roman"/>
          <w:sz w:val="28"/>
          <w:szCs w:val="28"/>
          <w:lang w:val="uk-UA"/>
        </w:rPr>
        <w:t>Органи судової системи відіграють важливу роль у вирішені спорів, які можуть бути обумовлені такими факторами, зокрема: соціально-економічними, політичними, культурними тощо. Так, засобом соціальних змін спрямованим на подолання дискримінації й забезпечення гендерної рівності, може виступати діяльність судів, адже їх позиція формує політику держави в їх вирішенні. Рішення, які приймаються в конкретній справі, можуть стати загальною нормою для аналогічних випадків.</w:t>
      </w:r>
    </w:p>
    <w:p w:rsidR="00F76D35" w:rsidRPr="00F76D35" w:rsidRDefault="00F76D35" w:rsidP="009B1EBB">
      <w:pPr>
        <w:spacing w:after="0" w:line="360" w:lineRule="auto"/>
        <w:ind w:firstLine="567"/>
        <w:jc w:val="both"/>
        <w:rPr>
          <w:rFonts w:ascii="Times New Roman" w:hAnsi="Times New Roman"/>
          <w:bCs/>
          <w:sz w:val="28"/>
          <w:szCs w:val="28"/>
          <w:lang w:val="uk-UA"/>
        </w:rPr>
      </w:pPr>
      <w:r w:rsidRPr="00F76D35">
        <w:rPr>
          <w:rFonts w:ascii="Times New Roman" w:hAnsi="Times New Roman"/>
          <w:sz w:val="28"/>
          <w:szCs w:val="28"/>
          <w:lang w:val="uk-UA"/>
        </w:rPr>
        <w:t xml:space="preserve">Нами проаналізовано практику вирішення спорів, пов’язаних з гендерною дискримінацією такою судовою інстанцією, як Європейський суд з прав людини, які є прикладом того, як судді визначають, чи мала місце дискримінація, на які обставини звертають увагу тощо. Судові рішення Європейського суду з прав людини щодо спорів, які виникають з приводу гендерної дискримінації, умовно пропонуємо поділити на такі групи, а саме рішення з приводу: трудових спорів; сексуальних домагань; сімейного права; соціального і пенсійного забезпечення; адміністративних спорів; надання належної медичної допомоги; домашнього насильства та </w:t>
      </w:r>
      <w:proofErr w:type="spellStart"/>
      <w:r w:rsidRPr="00F76D35">
        <w:rPr>
          <w:rFonts w:ascii="Times New Roman" w:hAnsi="Times New Roman"/>
          <w:sz w:val="28"/>
          <w:szCs w:val="28"/>
          <w:lang w:val="uk-UA"/>
        </w:rPr>
        <w:t>гендерно</w:t>
      </w:r>
      <w:proofErr w:type="spellEnd"/>
      <w:r w:rsidRPr="00F76D35">
        <w:rPr>
          <w:rFonts w:ascii="Times New Roman" w:hAnsi="Times New Roman"/>
          <w:sz w:val="28"/>
          <w:szCs w:val="28"/>
          <w:lang w:val="uk-UA"/>
        </w:rPr>
        <w:t xml:space="preserve"> обумовленого насильства. Увага до рішень Європейського суду з прав людини в Україні має зростати з огляду на євроінтеграційні прагнення. Саме на рівні практики Європейського Суду з прав людини первісно визнано, що право на однакове ставлення, зокрема за ознакою гендерної рівності, є одним із основних прав людини.</w:t>
      </w:r>
    </w:p>
    <w:p w:rsidR="007B3484" w:rsidRDefault="00624DF4" w:rsidP="009B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b/>
          <w:sz w:val="28"/>
          <w:szCs w:val="28"/>
          <w:lang w:val="uk-UA"/>
        </w:rPr>
      </w:pPr>
      <w:r w:rsidRPr="00624DF4">
        <w:rPr>
          <w:rFonts w:ascii="Times New Roman" w:hAnsi="Times New Roman"/>
          <w:b/>
          <w:sz w:val="28"/>
          <w:szCs w:val="28"/>
          <w:lang w:val="uk-UA"/>
        </w:rPr>
        <w:t>ВИСНОВКИ З ТЕМИ</w:t>
      </w:r>
    </w:p>
    <w:p w:rsidR="009B1EBB" w:rsidRDefault="009B1EBB" w:rsidP="009B1EBB">
      <w:pPr>
        <w:spacing w:after="0" w:line="360" w:lineRule="auto"/>
        <w:ind w:firstLine="567"/>
        <w:jc w:val="both"/>
        <w:rPr>
          <w:rFonts w:ascii="Times New Roman" w:eastAsia="Times New Roman" w:hAnsi="Times New Roman"/>
          <w:sz w:val="28"/>
          <w:szCs w:val="28"/>
          <w:lang w:val="uk-UA" w:eastAsia="ru-RU"/>
        </w:rPr>
      </w:pPr>
      <w:r w:rsidRPr="009B1EBB">
        <w:rPr>
          <w:rFonts w:ascii="Times New Roman" w:hAnsi="Times New Roman"/>
          <w:sz w:val="28"/>
          <w:szCs w:val="28"/>
          <w:lang w:val="uk-UA"/>
        </w:rPr>
        <w:t>1.</w:t>
      </w:r>
      <w:r>
        <w:rPr>
          <w:rFonts w:ascii="Times New Roman" w:hAnsi="Times New Roman"/>
          <w:b/>
          <w:sz w:val="28"/>
          <w:szCs w:val="28"/>
          <w:lang w:val="uk-UA"/>
        </w:rPr>
        <w:t> </w:t>
      </w:r>
      <w:r w:rsidRPr="009B1EBB">
        <w:rPr>
          <w:rFonts w:ascii="Times New Roman" w:eastAsia="Times New Roman" w:hAnsi="Times New Roman"/>
          <w:sz w:val="28"/>
          <w:szCs w:val="28"/>
          <w:lang w:val="uk-UA" w:eastAsia="ru-RU"/>
        </w:rPr>
        <w:t>Основні міжнародні акти, що визначають стандарти</w:t>
      </w:r>
      <w:r>
        <w:rPr>
          <w:rFonts w:ascii="Times New Roman" w:eastAsia="Times New Roman" w:hAnsi="Times New Roman"/>
          <w:sz w:val="28"/>
          <w:szCs w:val="28"/>
          <w:lang w:val="uk-UA" w:eastAsia="ru-RU"/>
        </w:rPr>
        <w:t xml:space="preserve"> рівності людей, їх соціальну цінність незалежно від статі можна поділити на загальні та спеціальні. Так, до загальних відносяться: Загальна декларація прав людини від 1948 р., Конвенція про захист прав людини і основоположних свобод від </w:t>
      </w:r>
      <w:r>
        <w:rPr>
          <w:rFonts w:ascii="Times New Roman" w:eastAsia="Times New Roman" w:hAnsi="Times New Roman"/>
          <w:sz w:val="28"/>
          <w:szCs w:val="28"/>
          <w:lang w:val="uk-UA" w:eastAsia="ru-RU"/>
        </w:rPr>
        <w:lastRenderedPageBreak/>
        <w:t xml:space="preserve">1950 р., Міжнародний пакт про громадські та політичні права від 1966 р., Пакт про соціально-економічні та культурні права від 1966 р. та інші. </w:t>
      </w:r>
    </w:p>
    <w:p w:rsidR="009B1EBB" w:rsidRDefault="009B1EBB" w:rsidP="009B1EBB">
      <w:pPr>
        <w:spacing w:after="0" w:line="36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Міжнародні стандарти гарантування гендерної рівності, недискримінації та захисту від </w:t>
      </w:r>
      <w:proofErr w:type="spellStart"/>
      <w:r>
        <w:rPr>
          <w:rFonts w:ascii="Times New Roman" w:eastAsia="Times New Roman" w:hAnsi="Times New Roman"/>
          <w:sz w:val="28"/>
          <w:szCs w:val="28"/>
          <w:lang w:val="uk-UA" w:eastAsia="ru-RU"/>
        </w:rPr>
        <w:t>гендерно</w:t>
      </w:r>
      <w:proofErr w:type="spellEnd"/>
      <w:r>
        <w:rPr>
          <w:rFonts w:ascii="Times New Roman" w:eastAsia="Times New Roman" w:hAnsi="Times New Roman"/>
          <w:sz w:val="28"/>
          <w:szCs w:val="28"/>
          <w:lang w:val="uk-UA" w:eastAsia="ru-RU"/>
        </w:rPr>
        <w:t xml:space="preserve"> обумовленого насильства закріплені в таких спеціальних міжнародних актах ООН, як: Конвенція про політичні права жінок від 1952 р., Конвенція про ліквідацію всіх форм дискримінації щодо жінок від 1979 р., Статут Організації Об'єднаних Націй від 1945 р., Конвенція про боротьбу з торгівлею людьми і з експлуатацією проституції третіми особами від 1949 р.,</w:t>
      </w:r>
      <w:r>
        <w:rPr>
          <w:sz w:val="28"/>
          <w:szCs w:val="28"/>
          <w:lang w:val="uk-UA"/>
        </w:rPr>
        <w:t xml:space="preserve"> </w:t>
      </w:r>
      <w:r>
        <w:rPr>
          <w:rFonts w:ascii="Times New Roman" w:eastAsia="Times New Roman" w:hAnsi="Times New Roman"/>
          <w:sz w:val="28"/>
          <w:szCs w:val="28"/>
          <w:lang w:val="uk-UA" w:eastAsia="ru-RU"/>
        </w:rPr>
        <w:t xml:space="preserve">Декларація про ліквідацію дискримінації у відношенні жінок від 1967 р., Резолюція Ради Безпеки ООН №1325(2000) «Жінки. Мир. Безпека» та інших резолюціях у цій сфері. </w:t>
      </w:r>
    </w:p>
    <w:p w:rsidR="009B1EBB" w:rsidRPr="00F97C70" w:rsidRDefault="009B1EBB" w:rsidP="009B1EBB">
      <w:pPr>
        <w:spacing w:after="0" w:line="360" w:lineRule="auto"/>
        <w:ind w:firstLine="567"/>
        <w:jc w:val="both"/>
        <w:rPr>
          <w:rFonts w:ascii="Times New Roman" w:eastAsia="Times New Roman" w:hAnsi="Times New Roman"/>
          <w:sz w:val="28"/>
          <w:szCs w:val="28"/>
          <w:lang w:val="uk-UA" w:eastAsia="ru-RU"/>
        </w:rPr>
      </w:pPr>
      <w:r w:rsidRPr="00F97C70">
        <w:rPr>
          <w:rFonts w:ascii="Times New Roman" w:eastAsia="Times New Roman" w:hAnsi="Times New Roman"/>
          <w:sz w:val="28"/>
          <w:szCs w:val="28"/>
          <w:lang w:val="uk-UA" w:eastAsia="ru-RU"/>
        </w:rPr>
        <w:t xml:space="preserve">Міжнародні документи у сфері гендерної рівності, зокрема, стали основою для формування відповідної нормативної основи забезпечення рівних прав і свобод людини і громадянина в Україні. </w:t>
      </w:r>
    </w:p>
    <w:p w:rsidR="009B1EBB" w:rsidRDefault="009B1EBB" w:rsidP="009B1EBB">
      <w:pPr>
        <w:spacing w:after="0" w:line="360" w:lineRule="auto"/>
        <w:ind w:firstLine="567"/>
        <w:jc w:val="both"/>
        <w:rPr>
          <w:rFonts w:ascii="Times New Roman" w:eastAsiaTheme="minorHAnsi" w:hAnsi="Times New Roman"/>
          <w:sz w:val="28"/>
          <w:szCs w:val="28"/>
          <w:lang w:val="uk-UA"/>
        </w:rPr>
      </w:pPr>
      <w:r w:rsidRPr="009B1EBB">
        <w:rPr>
          <w:rFonts w:ascii="Times New Roman" w:hAnsi="Times New Roman"/>
          <w:sz w:val="28"/>
          <w:szCs w:val="28"/>
          <w:lang w:val="uk-UA"/>
        </w:rPr>
        <w:t>2</w:t>
      </w:r>
      <w:r>
        <w:rPr>
          <w:rFonts w:ascii="Times New Roman" w:hAnsi="Times New Roman"/>
          <w:b/>
          <w:sz w:val="28"/>
          <w:szCs w:val="28"/>
          <w:lang w:val="uk-UA"/>
        </w:rPr>
        <w:t>. </w:t>
      </w:r>
      <w:r>
        <w:rPr>
          <w:rFonts w:ascii="Times New Roman" w:eastAsia="Times New Roman" w:hAnsi="Times New Roman"/>
          <w:sz w:val="28"/>
          <w:szCs w:val="28"/>
          <w:lang w:val="uk-UA" w:eastAsia="ru-RU"/>
        </w:rPr>
        <w:t>Різні міжнародні організації, наприклад, Рада Європи, ООН, Національний демократичний інститут (НДІ), Агентство США з міжнародного розвитку (USAID), Шведське агентство з питань міжнародного розвитку (SIDA) тощо, активно підтримують українські державні установи у створенні й реалізації політики гендерної рівності, посиленні співробітництва з інститутами громадянського суспільства і збільшенні кількості жінок, що беруть участь в політичному житті країни</w:t>
      </w:r>
      <w:r>
        <w:rPr>
          <w:rFonts w:ascii="Times New Roman" w:eastAsia="Times New Roman" w:hAnsi="Times New Roman"/>
          <w:b/>
          <w:i/>
          <w:sz w:val="28"/>
          <w:szCs w:val="28"/>
          <w:lang w:val="uk-UA" w:eastAsia="ru-RU"/>
        </w:rPr>
        <w:t>.</w:t>
      </w:r>
      <w:r>
        <w:rPr>
          <w:rFonts w:ascii="Times New Roman" w:eastAsia="Times New Roman" w:hAnsi="Times New Roman"/>
          <w:sz w:val="28"/>
          <w:szCs w:val="28"/>
          <w:lang w:val="uk-UA" w:eastAsia="ru-RU"/>
        </w:rPr>
        <w:t xml:space="preserve"> Відповідно до міжнародних угод та меморандумів, в Україні діє </w:t>
      </w:r>
      <w:r>
        <w:rPr>
          <w:rFonts w:ascii="Times New Roman" w:eastAsia="Times New Roman" w:hAnsi="Times New Roman"/>
          <w:b/>
          <w:sz w:val="28"/>
          <w:szCs w:val="28"/>
          <w:lang w:val="uk-UA" w:eastAsia="ru-RU"/>
        </w:rPr>
        <w:t>система міжнародних та регіональних спеціалізовані установ, представництв, фондів та програми</w:t>
      </w:r>
      <w:r>
        <w:rPr>
          <w:rFonts w:ascii="Times New Roman" w:eastAsia="Times New Roman" w:hAnsi="Times New Roman"/>
          <w:sz w:val="28"/>
          <w:szCs w:val="28"/>
          <w:lang w:val="uk-UA" w:eastAsia="ru-RU"/>
        </w:rPr>
        <w:t xml:space="preserve"> Організації Об’єднаних Націй (ООН), Ради Європи, ОБСЄ та ін.</w:t>
      </w:r>
      <w:r w:rsidRPr="009B1EBB">
        <w:rPr>
          <w:rFonts w:ascii="Times New Roman" w:eastAsiaTheme="minorHAnsi" w:hAnsi="Times New Roman"/>
          <w:sz w:val="28"/>
          <w:szCs w:val="28"/>
          <w:lang w:val="uk-UA"/>
        </w:rPr>
        <w:t xml:space="preserve"> </w:t>
      </w:r>
    </w:p>
    <w:p w:rsidR="009B1EBB" w:rsidRPr="007B3484" w:rsidRDefault="009B1EBB" w:rsidP="009B1EBB">
      <w:pPr>
        <w:spacing w:after="0" w:line="360" w:lineRule="auto"/>
        <w:ind w:firstLine="567"/>
        <w:jc w:val="both"/>
        <w:rPr>
          <w:rFonts w:ascii="Times New Roman" w:eastAsiaTheme="minorHAnsi" w:hAnsi="Times New Roman"/>
          <w:sz w:val="28"/>
          <w:szCs w:val="28"/>
          <w:lang w:val="uk-UA"/>
        </w:rPr>
      </w:pPr>
      <w:r w:rsidRPr="007B3484">
        <w:rPr>
          <w:rFonts w:ascii="Times New Roman" w:eastAsiaTheme="minorHAnsi" w:hAnsi="Times New Roman"/>
          <w:sz w:val="28"/>
          <w:szCs w:val="28"/>
          <w:lang w:val="uk-UA"/>
        </w:rPr>
        <w:t xml:space="preserve">Міжнародний механізм поточного контролю за виконанням Україною міжнародних зобов’язань у сфері забезпечення принципу гендерного паритету відсутній. Це призводить до імітування національними інституціями реального забезпечення принципу гендерної рівності. </w:t>
      </w:r>
    </w:p>
    <w:p w:rsidR="009B1EBB" w:rsidRPr="007B3484" w:rsidRDefault="009B1EBB" w:rsidP="009B1EBB">
      <w:pPr>
        <w:spacing w:after="0" w:line="360" w:lineRule="auto"/>
        <w:ind w:firstLine="567"/>
        <w:jc w:val="both"/>
        <w:rPr>
          <w:rFonts w:ascii="Times New Roman" w:eastAsia="Times New Roman" w:hAnsi="Times New Roman"/>
          <w:sz w:val="28"/>
          <w:szCs w:val="28"/>
          <w:lang w:val="uk-UA" w:eastAsia="ru-RU"/>
        </w:rPr>
      </w:pPr>
      <w:r w:rsidRPr="007B3484">
        <w:rPr>
          <w:rFonts w:ascii="Times New Roman" w:eastAsiaTheme="minorHAnsi" w:hAnsi="Times New Roman"/>
          <w:sz w:val="28"/>
          <w:szCs w:val="28"/>
          <w:lang w:val="uk-UA"/>
        </w:rPr>
        <w:t xml:space="preserve">Відчутною проблемою є те, що міжнародні організації, утримуються від забезпечення принципу гендерної рівності в Україні та підтримки жінок, які </w:t>
      </w:r>
      <w:r w:rsidRPr="007B3484">
        <w:rPr>
          <w:rFonts w:ascii="Times New Roman" w:eastAsiaTheme="minorHAnsi" w:hAnsi="Times New Roman"/>
          <w:sz w:val="28"/>
          <w:szCs w:val="28"/>
          <w:lang w:val="uk-UA"/>
        </w:rPr>
        <w:lastRenderedPageBreak/>
        <w:t>знаходяться на непідконтрольній території, через відсутність гарантій безпеки.</w:t>
      </w:r>
    </w:p>
    <w:p w:rsidR="009B1EBB" w:rsidRPr="007B3484" w:rsidRDefault="009B1EBB" w:rsidP="009B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val="uk-UA" w:eastAsia="x-none"/>
        </w:rPr>
      </w:pPr>
      <w:r w:rsidRPr="009B1EBB">
        <w:rPr>
          <w:rFonts w:ascii="Times New Roman" w:eastAsia="Times New Roman" w:hAnsi="Times New Roman"/>
          <w:sz w:val="28"/>
          <w:szCs w:val="28"/>
          <w:lang w:val="uk-UA" w:eastAsia="x-none"/>
        </w:rPr>
        <w:t>3.</w:t>
      </w:r>
      <w:r>
        <w:rPr>
          <w:rFonts w:ascii="Times New Roman" w:hAnsi="Times New Roman"/>
          <w:b/>
          <w:sz w:val="28"/>
          <w:szCs w:val="28"/>
          <w:lang w:val="uk-UA"/>
        </w:rPr>
        <w:t> </w:t>
      </w:r>
      <w:r w:rsidRPr="007B3484">
        <w:rPr>
          <w:rFonts w:ascii="Times New Roman" w:eastAsia="Times New Roman" w:hAnsi="Times New Roman"/>
          <w:sz w:val="28"/>
          <w:szCs w:val="28"/>
          <w:lang w:val="uk-UA" w:eastAsia="x-none"/>
        </w:rPr>
        <w:t xml:space="preserve">Україні вкрай необхідно розробити Національний план дій щодо боротьби з насильством, заснованим на </w:t>
      </w:r>
      <w:proofErr w:type="spellStart"/>
      <w:r w:rsidRPr="007B3484">
        <w:rPr>
          <w:rFonts w:ascii="Times New Roman" w:eastAsia="Times New Roman" w:hAnsi="Times New Roman"/>
          <w:sz w:val="28"/>
          <w:szCs w:val="28"/>
          <w:lang w:val="uk-UA" w:eastAsia="x-none"/>
        </w:rPr>
        <w:t>гендері</w:t>
      </w:r>
      <w:proofErr w:type="spellEnd"/>
      <w:r w:rsidRPr="007B3484">
        <w:rPr>
          <w:rFonts w:ascii="Times New Roman" w:eastAsia="Times New Roman" w:hAnsi="Times New Roman"/>
          <w:sz w:val="28"/>
          <w:szCs w:val="28"/>
          <w:lang w:val="uk-UA" w:eastAsia="x-none"/>
        </w:rPr>
        <w:t>, як це зробили провідні зарубіжні країни (Італія, Бельгія, США, Словаччина тощо).</w:t>
      </w:r>
      <w:r>
        <w:rPr>
          <w:rFonts w:ascii="Times New Roman" w:eastAsia="Times New Roman" w:hAnsi="Times New Roman"/>
          <w:sz w:val="28"/>
          <w:szCs w:val="28"/>
          <w:lang w:val="uk-UA" w:eastAsia="x-none"/>
        </w:rPr>
        <w:t xml:space="preserve"> </w:t>
      </w:r>
      <w:r w:rsidRPr="007B3484">
        <w:rPr>
          <w:rFonts w:ascii="Times New Roman" w:eastAsia="Times New Roman" w:hAnsi="Times New Roman"/>
          <w:sz w:val="28"/>
          <w:szCs w:val="28"/>
          <w:lang w:val="uk-UA" w:eastAsia="x-none"/>
        </w:rPr>
        <w:t>Формування Національного плану дій щодо впровадження гендерної рівності, запобігання та протидії насильству за ознакою статі покладається на спеціально уповноважений центральний орган виконавчої влади з питань забезпечення рівних прав та можливостей жінок і</w:t>
      </w:r>
      <w:r>
        <w:rPr>
          <w:rFonts w:ascii="Times New Roman" w:eastAsia="Times New Roman" w:hAnsi="Times New Roman"/>
          <w:sz w:val="28"/>
          <w:szCs w:val="28"/>
          <w:lang w:val="uk-UA" w:eastAsia="x-none"/>
        </w:rPr>
        <w:t xml:space="preserve"> чоловіків. </w:t>
      </w:r>
    </w:p>
    <w:p w:rsidR="009B1EBB" w:rsidRPr="007B3484" w:rsidRDefault="009B1EBB" w:rsidP="009B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val="uk-UA" w:eastAsia="x-none"/>
        </w:rPr>
      </w:pPr>
      <w:r w:rsidRPr="007B3484">
        <w:rPr>
          <w:rFonts w:ascii="Times New Roman" w:eastAsia="Times New Roman" w:hAnsi="Times New Roman"/>
          <w:sz w:val="28"/>
          <w:szCs w:val="28"/>
          <w:lang w:val="uk-UA" w:eastAsia="x-none"/>
        </w:rPr>
        <w:t>У вказаному Плані доцільно чітко розмежувати компетенцію міністерств, органів місцевого самоврядування, закладів охорони здоров’я, громадських організацій та інших структур, які будуть визначені відповідальними за цей напрям. Особливу увагу слід приділити досвіду Європейського Союзу у методах збору статистичних даних та їх обробки.</w:t>
      </w:r>
      <w:r>
        <w:rPr>
          <w:rFonts w:ascii="Times New Roman" w:eastAsia="Times New Roman" w:hAnsi="Times New Roman"/>
          <w:sz w:val="28"/>
          <w:szCs w:val="28"/>
          <w:lang w:val="uk-UA" w:eastAsia="x-none"/>
        </w:rPr>
        <w:t xml:space="preserve"> </w:t>
      </w:r>
      <w:r w:rsidRPr="007B3484">
        <w:rPr>
          <w:rFonts w:ascii="Times New Roman" w:eastAsia="Times New Roman" w:hAnsi="Times New Roman"/>
          <w:sz w:val="28"/>
          <w:szCs w:val="28"/>
          <w:lang w:val="uk-UA" w:eastAsia="x-none"/>
        </w:rPr>
        <w:t xml:space="preserve">Яскравим прикладом того, що Україна вже має досвід розробки та запровадження таких планів, є </w:t>
      </w:r>
      <w:r w:rsidRPr="007B3484">
        <w:rPr>
          <w:rFonts w:ascii="Times New Roman" w:eastAsia="Times New Roman" w:hAnsi="Times New Roman"/>
          <w:bCs/>
          <w:sz w:val="28"/>
          <w:szCs w:val="28"/>
          <w:shd w:val="clear" w:color="auto" w:fill="FFFFFF"/>
          <w:lang w:val="uk-UA" w:eastAsia="x-none"/>
        </w:rPr>
        <w:t xml:space="preserve">Національний план дій з виконання резолюції Ради Безпеки ООН 1325 «Жінки, мир, безпека» на період до 2020 року, який не тільки націлений на </w:t>
      </w:r>
      <w:r w:rsidRPr="007B3484">
        <w:rPr>
          <w:rFonts w:ascii="Times New Roman" w:eastAsia="Times New Roman" w:hAnsi="Times New Roman"/>
          <w:sz w:val="28"/>
          <w:szCs w:val="28"/>
          <w:shd w:val="clear" w:color="auto" w:fill="FFFFFF"/>
          <w:lang w:val="uk-UA" w:eastAsia="x-none"/>
        </w:rPr>
        <w:t xml:space="preserve">захист прав жінок в умовах збройного конфлікту та забезпечення їх активної участі у миротворчих процесах, а й покликаний удосконалити систему захисту та реабілітації постраждалих від </w:t>
      </w:r>
      <w:proofErr w:type="spellStart"/>
      <w:r w:rsidRPr="007B3484">
        <w:rPr>
          <w:rFonts w:ascii="Times New Roman" w:eastAsia="Times New Roman" w:hAnsi="Times New Roman"/>
          <w:sz w:val="28"/>
          <w:szCs w:val="28"/>
          <w:shd w:val="clear" w:color="auto" w:fill="FFFFFF"/>
          <w:lang w:val="uk-UA" w:eastAsia="x-none"/>
        </w:rPr>
        <w:t>гендерно</w:t>
      </w:r>
      <w:proofErr w:type="spellEnd"/>
      <w:r w:rsidRPr="007B3484">
        <w:rPr>
          <w:rFonts w:ascii="Times New Roman" w:eastAsia="Times New Roman" w:hAnsi="Times New Roman"/>
          <w:sz w:val="28"/>
          <w:szCs w:val="28"/>
          <w:shd w:val="clear" w:color="auto" w:fill="FFFFFF"/>
          <w:lang w:val="uk-UA" w:eastAsia="x-none"/>
        </w:rPr>
        <w:t xml:space="preserve"> зумовленого насильства</w:t>
      </w:r>
      <w:r w:rsidRPr="007B3484">
        <w:rPr>
          <w:rFonts w:ascii="Times New Roman" w:eastAsia="Times New Roman" w:hAnsi="Times New Roman"/>
          <w:iCs/>
          <w:sz w:val="28"/>
          <w:szCs w:val="28"/>
          <w:lang w:val="uk-UA" w:eastAsia="x-none"/>
        </w:rPr>
        <w:t>.</w:t>
      </w:r>
      <w:r w:rsidRPr="007B3484">
        <w:rPr>
          <w:rFonts w:ascii="Times New Roman" w:eastAsia="Times New Roman" w:hAnsi="Times New Roman"/>
          <w:i/>
          <w:iCs/>
          <w:sz w:val="28"/>
          <w:szCs w:val="28"/>
          <w:lang w:val="uk-UA" w:eastAsia="x-none"/>
        </w:rPr>
        <w:t xml:space="preserve"> </w:t>
      </w:r>
      <w:r w:rsidRPr="007B3484">
        <w:rPr>
          <w:rFonts w:ascii="Times New Roman" w:eastAsia="Times New Roman" w:hAnsi="Times New Roman"/>
          <w:iCs/>
          <w:sz w:val="28"/>
          <w:szCs w:val="28"/>
          <w:lang w:val="uk-UA" w:eastAsia="x-none"/>
        </w:rPr>
        <w:t xml:space="preserve">Запропонований автором Національний план дій </w:t>
      </w:r>
      <w:r w:rsidRPr="007B3484">
        <w:rPr>
          <w:rFonts w:ascii="Times New Roman" w:eastAsia="Times New Roman" w:hAnsi="Times New Roman"/>
          <w:sz w:val="28"/>
          <w:szCs w:val="28"/>
          <w:lang w:val="uk-UA" w:eastAsia="x-none"/>
        </w:rPr>
        <w:t xml:space="preserve">щодо боротьби з насильством, заснованим на </w:t>
      </w:r>
      <w:proofErr w:type="spellStart"/>
      <w:r w:rsidRPr="007B3484">
        <w:rPr>
          <w:rFonts w:ascii="Times New Roman" w:eastAsia="Times New Roman" w:hAnsi="Times New Roman"/>
          <w:sz w:val="28"/>
          <w:szCs w:val="28"/>
          <w:lang w:val="uk-UA" w:eastAsia="x-none"/>
        </w:rPr>
        <w:t>гендері</w:t>
      </w:r>
      <w:proofErr w:type="spellEnd"/>
      <w:r w:rsidRPr="007B3484">
        <w:rPr>
          <w:rFonts w:ascii="Times New Roman" w:eastAsia="Times New Roman" w:hAnsi="Times New Roman"/>
          <w:sz w:val="28"/>
          <w:szCs w:val="28"/>
          <w:lang w:val="uk-UA" w:eastAsia="x-none"/>
        </w:rPr>
        <w:t>, покликаний  запровадити комплекс дій та заходів, спрямованих на зменшення випадків вчинення гендерного насилля, не лише під час збройних конфліктів, а й у повсякденному житті.</w:t>
      </w:r>
    </w:p>
    <w:p w:rsidR="009B1EBB" w:rsidRDefault="009B1EBB" w:rsidP="009B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val="uk-UA" w:eastAsia="x-none"/>
        </w:rPr>
      </w:pPr>
      <w:r w:rsidRPr="007B3484">
        <w:rPr>
          <w:rFonts w:ascii="Times New Roman" w:eastAsia="Times New Roman" w:hAnsi="Times New Roman"/>
          <w:sz w:val="28"/>
          <w:szCs w:val="28"/>
          <w:lang w:val="uk-UA" w:eastAsia="x-none"/>
        </w:rPr>
        <w:t xml:space="preserve">Важливим завданням кожної країни є запровадження національної антикризової програми боротьби з насильством, заснованим на </w:t>
      </w:r>
      <w:proofErr w:type="spellStart"/>
      <w:r w:rsidRPr="007B3484">
        <w:rPr>
          <w:rFonts w:ascii="Times New Roman" w:eastAsia="Times New Roman" w:hAnsi="Times New Roman"/>
          <w:sz w:val="28"/>
          <w:szCs w:val="28"/>
          <w:lang w:val="uk-UA" w:eastAsia="x-none"/>
        </w:rPr>
        <w:t>гендері</w:t>
      </w:r>
      <w:proofErr w:type="spellEnd"/>
      <w:r w:rsidRPr="007B3484">
        <w:rPr>
          <w:rFonts w:ascii="Times New Roman" w:eastAsia="Times New Roman" w:hAnsi="Times New Roman"/>
          <w:sz w:val="28"/>
          <w:szCs w:val="28"/>
          <w:lang w:val="uk-UA" w:eastAsia="x-none"/>
        </w:rPr>
        <w:t xml:space="preserve">. Метою такої програми є тримання на контролі всіх нюансів перебігу кризи та вчасна реакція на зміну умов. Залежно від виду (форми) </w:t>
      </w:r>
      <w:proofErr w:type="spellStart"/>
      <w:r w:rsidRPr="007B3484">
        <w:rPr>
          <w:rFonts w:ascii="Times New Roman" w:eastAsia="Times New Roman" w:hAnsi="Times New Roman"/>
          <w:sz w:val="28"/>
          <w:szCs w:val="28"/>
          <w:lang w:val="uk-UA" w:eastAsia="x-none"/>
        </w:rPr>
        <w:t>гендерно</w:t>
      </w:r>
      <w:proofErr w:type="spellEnd"/>
      <w:r w:rsidRPr="007B3484">
        <w:rPr>
          <w:rFonts w:ascii="Times New Roman" w:eastAsia="Times New Roman" w:hAnsi="Times New Roman"/>
          <w:sz w:val="28"/>
          <w:szCs w:val="28"/>
          <w:lang w:val="uk-UA" w:eastAsia="x-none"/>
        </w:rPr>
        <w:t xml:space="preserve"> обумовленого насильства та від масштабів або специфіки його визначають </w:t>
      </w:r>
      <w:r w:rsidRPr="007B3484">
        <w:rPr>
          <w:rFonts w:ascii="Times New Roman" w:eastAsia="Times New Roman" w:hAnsi="Times New Roman"/>
          <w:sz w:val="28"/>
          <w:szCs w:val="28"/>
          <w:lang w:val="uk-UA" w:eastAsia="x-none"/>
        </w:rPr>
        <w:lastRenderedPageBreak/>
        <w:t xml:space="preserve">антикризові заходи, підвищують концентрацію на ключових завданнях, впроваджують зміни задля нівелювання подачі неадекватної інформації суспільству та викоренення насилля, заснованого на </w:t>
      </w:r>
      <w:proofErr w:type="spellStart"/>
      <w:r w:rsidRPr="007B3484">
        <w:rPr>
          <w:rFonts w:ascii="Times New Roman" w:eastAsia="Times New Roman" w:hAnsi="Times New Roman"/>
          <w:sz w:val="28"/>
          <w:szCs w:val="28"/>
          <w:lang w:val="uk-UA" w:eastAsia="x-none"/>
        </w:rPr>
        <w:t>гендері</w:t>
      </w:r>
      <w:proofErr w:type="spellEnd"/>
      <w:r w:rsidRPr="007B3484">
        <w:rPr>
          <w:rFonts w:ascii="Times New Roman" w:eastAsia="Times New Roman" w:hAnsi="Times New Roman"/>
          <w:sz w:val="28"/>
          <w:szCs w:val="28"/>
          <w:lang w:val="uk-UA" w:eastAsia="x-none"/>
        </w:rPr>
        <w:t>.</w:t>
      </w:r>
    </w:p>
    <w:p w:rsidR="009B1EBB" w:rsidRPr="00F76D35" w:rsidRDefault="009B1EBB" w:rsidP="009B1EBB">
      <w:pPr>
        <w:spacing w:after="0" w:line="360" w:lineRule="auto"/>
        <w:ind w:firstLine="709"/>
        <w:jc w:val="both"/>
        <w:rPr>
          <w:rFonts w:ascii="Times New Roman" w:hAnsi="Times New Roman"/>
          <w:sz w:val="28"/>
          <w:szCs w:val="28"/>
          <w:lang w:val="uk-UA"/>
        </w:rPr>
      </w:pPr>
      <w:r w:rsidRPr="009B1EBB">
        <w:rPr>
          <w:rFonts w:ascii="Times New Roman" w:hAnsi="Times New Roman"/>
          <w:sz w:val="28"/>
          <w:szCs w:val="28"/>
          <w:lang w:val="uk-UA"/>
        </w:rPr>
        <w:t>4.</w:t>
      </w:r>
      <w:r>
        <w:rPr>
          <w:rFonts w:ascii="Times New Roman" w:hAnsi="Times New Roman"/>
          <w:b/>
          <w:sz w:val="28"/>
          <w:szCs w:val="28"/>
          <w:lang w:val="uk-UA"/>
        </w:rPr>
        <w:t> </w:t>
      </w:r>
      <w:r w:rsidRPr="00F76D35">
        <w:rPr>
          <w:rFonts w:ascii="Times New Roman" w:hAnsi="Times New Roman"/>
          <w:sz w:val="28"/>
          <w:szCs w:val="28"/>
          <w:lang w:val="uk-UA"/>
        </w:rPr>
        <w:t>Органи судової системи відіграють важливу роль у вирішені спорів, які можуть бути обумовлені такими факторами, зокрема: соціально-економічними, політичними, культурними тощо. Так, засобом соціальних змін спрямованим на подолання дискримінації й забезпечення гендерної рівності, може виступати діяльність судів, адже їх позиція формує політику держави в їх вирішенні. Рішення, які приймаються в конкретній справі, можуть стати загальною нормою для аналогічних випадків.</w:t>
      </w:r>
    </w:p>
    <w:p w:rsidR="009B1EBB" w:rsidRPr="00F76D35" w:rsidRDefault="009B1EBB" w:rsidP="009B1EBB">
      <w:pPr>
        <w:spacing w:after="0" w:line="360" w:lineRule="auto"/>
        <w:ind w:firstLine="567"/>
        <w:jc w:val="both"/>
        <w:rPr>
          <w:rFonts w:ascii="Times New Roman" w:hAnsi="Times New Roman"/>
          <w:bCs/>
          <w:sz w:val="28"/>
          <w:szCs w:val="28"/>
          <w:lang w:val="uk-UA"/>
        </w:rPr>
      </w:pPr>
      <w:r w:rsidRPr="00F76D35">
        <w:rPr>
          <w:rFonts w:ascii="Times New Roman" w:hAnsi="Times New Roman"/>
          <w:sz w:val="28"/>
          <w:szCs w:val="28"/>
          <w:lang w:val="uk-UA"/>
        </w:rPr>
        <w:t xml:space="preserve">Нами проаналізовано практику вирішення спорів, пов’язаних з гендерною дискримінацією такою судовою інстанцією, як Європейський суд з прав людини, які є прикладом того, як судді визначають, чи мала місце дискримінація, на які обставини звертають увагу тощо. Судові рішення Європейського суду з прав людини щодо спорів, які виникають з приводу гендерної дискримінації, умовно пропонуємо поділити на такі групи, а саме рішення з приводу: трудових спорів; сексуальних домагань; сімейного права; соціального і пенсійного забезпечення; адміністративних спорів; надання належної медичної допомоги; домашнього насильства та </w:t>
      </w:r>
      <w:proofErr w:type="spellStart"/>
      <w:r w:rsidRPr="00F76D35">
        <w:rPr>
          <w:rFonts w:ascii="Times New Roman" w:hAnsi="Times New Roman"/>
          <w:sz w:val="28"/>
          <w:szCs w:val="28"/>
          <w:lang w:val="uk-UA"/>
        </w:rPr>
        <w:t>гендерно</w:t>
      </w:r>
      <w:proofErr w:type="spellEnd"/>
      <w:r w:rsidRPr="00F76D35">
        <w:rPr>
          <w:rFonts w:ascii="Times New Roman" w:hAnsi="Times New Roman"/>
          <w:sz w:val="28"/>
          <w:szCs w:val="28"/>
          <w:lang w:val="uk-UA"/>
        </w:rPr>
        <w:t xml:space="preserve"> обумовленого насильства. Увага до рішень Європейського суду з прав людини в Україні має зростати з огляду на євроінтеграційні прагнення. Саме на рівні практики Європейського Суду з прав людини первісно визнано, що право на однакове ставлення, зокрема за ознакою гендерної рівності, є одним із основних прав людини.</w:t>
      </w:r>
    </w:p>
    <w:p w:rsidR="009B1EBB" w:rsidRPr="007B3484" w:rsidRDefault="009B1EBB" w:rsidP="009B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b/>
          <w:sz w:val="28"/>
          <w:szCs w:val="28"/>
          <w:lang w:val="uk-UA"/>
        </w:rPr>
      </w:pPr>
    </w:p>
    <w:sectPr w:rsidR="009B1EBB" w:rsidRPr="007B34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01BA"/>
    <w:multiLevelType w:val="hybridMultilevel"/>
    <w:tmpl w:val="5B0E90DE"/>
    <w:lvl w:ilvl="0" w:tplc="FDB256A0">
      <w:start w:val="1"/>
      <w:numFmt w:val="decimal"/>
      <w:lvlText w:val="%1."/>
      <w:lvlJc w:val="left"/>
      <w:pPr>
        <w:ind w:left="2628" w:hanging="360"/>
      </w:pPr>
      <w:rPr>
        <w:rFonts w:ascii="Times New Roman" w:hAnsi="Times New Roman" w:hint="default"/>
        <w:i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484"/>
    <w:rsid w:val="00171B45"/>
    <w:rsid w:val="00261F25"/>
    <w:rsid w:val="002670DF"/>
    <w:rsid w:val="00267E41"/>
    <w:rsid w:val="00290C76"/>
    <w:rsid w:val="00346206"/>
    <w:rsid w:val="004D46E3"/>
    <w:rsid w:val="00624DF4"/>
    <w:rsid w:val="007B3484"/>
    <w:rsid w:val="008E2C8B"/>
    <w:rsid w:val="009B1EBB"/>
    <w:rsid w:val="00BE75AC"/>
    <w:rsid w:val="00C307D2"/>
    <w:rsid w:val="00D02534"/>
    <w:rsid w:val="00D82727"/>
    <w:rsid w:val="00D85EB4"/>
    <w:rsid w:val="00F76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E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uiPriority w:val="99"/>
    <w:rsid w:val="007B3484"/>
    <w:rPr>
      <w:rFonts w:cs="Times New Roman"/>
    </w:rPr>
  </w:style>
  <w:style w:type="paragraph" w:styleId="HTML">
    <w:name w:val="HTML Preformatted"/>
    <w:basedOn w:val="a"/>
    <w:link w:val="HTML0"/>
    <w:uiPriority w:val="99"/>
    <w:rsid w:val="007B3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B3484"/>
    <w:rPr>
      <w:rFonts w:ascii="Courier New" w:eastAsia="Times New Roman" w:hAnsi="Courier New" w:cs="Courier New"/>
      <w:sz w:val="20"/>
      <w:szCs w:val="20"/>
      <w:lang w:eastAsia="ru-RU"/>
    </w:rPr>
  </w:style>
  <w:style w:type="paragraph" w:styleId="a3">
    <w:name w:val="Normal (Web)"/>
    <w:aliases w:val="Знак Знак5"/>
    <w:basedOn w:val="a"/>
    <w:uiPriority w:val="99"/>
    <w:semiHidden/>
    <w:rsid w:val="007B348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346206"/>
    <w:pPr>
      <w:ind w:left="720"/>
      <w:contextualSpacing/>
    </w:pPr>
  </w:style>
  <w:style w:type="character" w:styleId="a5">
    <w:name w:val="Hyperlink"/>
    <w:basedOn w:val="a0"/>
    <w:uiPriority w:val="99"/>
    <w:unhideWhenUsed/>
    <w:rsid w:val="00261F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E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uiPriority w:val="99"/>
    <w:rsid w:val="007B3484"/>
    <w:rPr>
      <w:rFonts w:cs="Times New Roman"/>
    </w:rPr>
  </w:style>
  <w:style w:type="paragraph" w:styleId="HTML">
    <w:name w:val="HTML Preformatted"/>
    <w:basedOn w:val="a"/>
    <w:link w:val="HTML0"/>
    <w:uiPriority w:val="99"/>
    <w:rsid w:val="007B3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B3484"/>
    <w:rPr>
      <w:rFonts w:ascii="Courier New" w:eastAsia="Times New Roman" w:hAnsi="Courier New" w:cs="Courier New"/>
      <w:sz w:val="20"/>
      <w:szCs w:val="20"/>
      <w:lang w:eastAsia="ru-RU"/>
    </w:rPr>
  </w:style>
  <w:style w:type="paragraph" w:styleId="a3">
    <w:name w:val="Normal (Web)"/>
    <w:aliases w:val="Знак Знак5"/>
    <w:basedOn w:val="a"/>
    <w:uiPriority w:val="99"/>
    <w:semiHidden/>
    <w:rsid w:val="007B348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346206"/>
    <w:pPr>
      <w:ind w:left="720"/>
      <w:contextualSpacing/>
    </w:pPr>
  </w:style>
  <w:style w:type="character" w:styleId="a5">
    <w:name w:val="Hyperlink"/>
    <w:basedOn w:val="a0"/>
    <w:uiPriority w:val="99"/>
    <w:unhideWhenUsed/>
    <w:rsid w:val="00261F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1086">
      <w:bodyDiv w:val="1"/>
      <w:marLeft w:val="0"/>
      <w:marRight w:val="0"/>
      <w:marTop w:val="0"/>
      <w:marBottom w:val="0"/>
      <w:divBdr>
        <w:top w:val="none" w:sz="0" w:space="0" w:color="auto"/>
        <w:left w:val="none" w:sz="0" w:space="0" w:color="auto"/>
        <w:bottom w:val="none" w:sz="0" w:space="0" w:color="auto"/>
        <w:right w:val="none" w:sz="0" w:space="0" w:color="auto"/>
      </w:divBdr>
    </w:div>
    <w:div w:id="497187037">
      <w:bodyDiv w:val="1"/>
      <w:marLeft w:val="0"/>
      <w:marRight w:val="0"/>
      <w:marTop w:val="0"/>
      <w:marBottom w:val="0"/>
      <w:divBdr>
        <w:top w:val="none" w:sz="0" w:space="0" w:color="auto"/>
        <w:left w:val="none" w:sz="0" w:space="0" w:color="auto"/>
        <w:bottom w:val="none" w:sz="0" w:space="0" w:color="auto"/>
        <w:right w:val="none" w:sz="0" w:space="0" w:color="auto"/>
      </w:divBdr>
    </w:div>
    <w:div w:id="751390359">
      <w:bodyDiv w:val="1"/>
      <w:marLeft w:val="0"/>
      <w:marRight w:val="0"/>
      <w:marTop w:val="0"/>
      <w:marBottom w:val="0"/>
      <w:divBdr>
        <w:top w:val="none" w:sz="0" w:space="0" w:color="auto"/>
        <w:left w:val="none" w:sz="0" w:space="0" w:color="auto"/>
        <w:bottom w:val="none" w:sz="0" w:space="0" w:color="auto"/>
        <w:right w:val="none" w:sz="0" w:space="0" w:color="auto"/>
      </w:divBdr>
    </w:div>
    <w:div w:id="943922167">
      <w:bodyDiv w:val="1"/>
      <w:marLeft w:val="0"/>
      <w:marRight w:val="0"/>
      <w:marTop w:val="0"/>
      <w:marBottom w:val="0"/>
      <w:divBdr>
        <w:top w:val="none" w:sz="0" w:space="0" w:color="auto"/>
        <w:left w:val="none" w:sz="0" w:space="0" w:color="auto"/>
        <w:bottom w:val="none" w:sz="0" w:space="0" w:color="auto"/>
        <w:right w:val="none" w:sz="0" w:space="0" w:color="auto"/>
      </w:divBdr>
    </w:div>
    <w:div w:id="1338729152">
      <w:bodyDiv w:val="1"/>
      <w:marLeft w:val="0"/>
      <w:marRight w:val="0"/>
      <w:marTop w:val="0"/>
      <w:marBottom w:val="0"/>
      <w:divBdr>
        <w:top w:val="none" w:sz="0" w:space="0" w:color="auto"/>
        <w:left w:val="none" w:sz="0" w:space="0" w:color="auto"/>
        <w:bottom w:val="none" w:sz="0" w:space="0" w:color="auto"/>
        <w:right w:val="none" w:sz="0" w:space="0" w:color="auto"/>
      </w:divBdr>
    </w:div>
    <w:div w:id="1703557355">
      <w:bodyDiv w:val="1"/>
      <w:marLeft w:val="0"/>
      <w:marRight w:val="0"/>
      <w:marTop w:val="0"/>
      <w:marBottom w:val="0"/>
      <w:divBdr>
        <w:top w:val="none" w:sz="0" w:space="0" w:color="auto"/>
        <w:left w:val="none" w:sz="0" w:space="0" w:color="auto"/>
        <w:bottom w:val="none" w:sz="0" w:space="0" w:color="auto"/>
        <w:right w:val="none" w:sz="0" w:space="0" w:color="auto"/>
      </w:divBdr>
    </w:div>
    <w:div w:id="2082437728">
      <w:bodyDiv w:val="1"/>
      <w:marLeft w:val="0"/>
      <w:marRight w:val="0"/>
      <w:marTop w:val="0"/>
      <w:marBottom w:val="0"/>
      <w:divBdr>
        <w:top w:val="none" w:sz="0" w:space="0" w:color="auto"/>
        <w:left w:val="none" w:sz="0" w:space="0" w:color="auto"/>
        <w:bottom w:val="none" w:sz="0" w:space="0" w:color="auto"/>
        <w:right w:val="none" w:sz="0" w:space="0" w:color="auto"/>
      </w:divBdr>
    </w:div>
    <w:div w:id="212514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oodle.dduvs.in.ua/mod/glossary/showentry.php?eid=6911&amp;displayformat=dictio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odle.dduvs.in.ua/mod/glossary/showentry.php?eid=6911&amp;displayformat=dictionar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39</Pages>
  <Words>48226</Words>
  <Characters>27490</Characters>
  <Application>Microsoft Office Word</Application>
  <DocSecurity>0</DocSecurity>
  <Lines>229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Алла</cp:lastModifiedBy>
  <cp:revision>7</cp:revision>
  <dcterms:created xsi:type="dcterms:W3CDTF">2018-12-17T19:26:00Z</dcterms:created>
  <dcterms:modified xsi:type="dcterms:W3CDTF">2019-01-20T21:54:00Z</dcterms:modified>
</cp:coreProperties>
</file>