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B7458">
        <w:rPr>
          <w:rFonts w:ascii="Times New Roman" w:hAnsi="Times New Roman"/>
          <w:b/>
          <w:i/>
          <w:sz w:val="28"/>
          <w:szCs w:val="28"/>
        </w:rPr>
        <w:t>Гендер</w:t>
      </w:r>
      <w:proofErr w:type="spellEnd"/>
      <w:r w:rsidRPr="001B7458">
        <w:rPr>
          <w:rFonts w:ascii="Times New Roman" w:hAnsi="Times New Roman"/>
          <w:b/>
          <w:i/>
          <w:sz w:val="28"/>
          <w:szCs w:val="28"/>
        </w:rPr>
        <w:t xml:space="preserve"> – це: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а) працюючі чоловіки та жінки;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B7458">
        <w:rPr>
          <w:rFonts w:ascii="Times New Roman" w:hAnsi="Times New Roman"/>
          <w:sz w:val="28"/>
          <w:szCs w:val="28"/>
          <w:u w:val="single"/>
        </w:rPr>
        <w:t>б) соціальна та культурна характеристика чоловіків та жінок;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в) боротьба між чоловіками та жінками;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г) визначення взаємин статей.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B7458">
        <w:rPr>
          <w:rFonts w:ascii="Times New Roman" w:hAnsi="Times New Roman"/>
          <w:b/>
          <w:i/>
          <w:sz w:val="28"/>
          <w:szCs w:val="28"/>
        </w:rPr>
        <w:t>Гендерні стереотипи – це: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B7458">
        <w:rPr>
          <w:rFonts w:ascii="Times New Roman" w:hAnsi="Times New Roman"/>
          <w:sz w:val="28"/>
          <w:szCs w:val="28"/>
          <w:u w:val="single"/>
        </w:rPr>
        <w:t>а) поширені в суспільстві спрощенні  уявлення про сутність чоловіків та жінок;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б) образи чоловіка та жінки у конкретної особи;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в) ідеальні типи чоловіка та жінки;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г) поняття схожості чоловіків між собою та жінок,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B7458">
        <w:rPr>
          <w:rFonts w:ascii="Times New Roman" w:hAnsi="Times New Roman"/>
          <w:b/>
          <w:i/>
          <w:sz w:val="28"/>
          <w:szCs w:val="28"/>
        </w:rPr>
        <w:t>Гендерні ролі – це: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а) наукове визначення природного призначення жінки і чоловіка;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б) ролі, які виконує жінка на вимогу чоловіка;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в) ролі, які виконує чоловік, на прохання жінки;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B7458">
        <w:rPr>
          <w:rFonts w:ascii="Times New Roman" w:hAnsi="Times New Roman"/>
          <w:sz w:val="28"/>
          <w:szCs w:val="28"/>
          <w:u w:val="single"/>
        </w:rPr>
        <w:t>г) ролі, які повинні грати жінки і чоловіки у відповідності з уявленням більшості сучасних людей.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B7458">
        <w:rPr>
          <w:rFonts w:ascii="Times New Roman" w:hAnsi="Times New Roman"/>
          <w:b/>
          <w:i/>
          <w:sz w:val="28"/>
          <w:szCs w:val="28"/>
        </w:rPr>
        <w:t>Гендерна рівність – це: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а) рівність прав усіх жінок;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б) рівні права чоловіків;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в) рівні права жінок та чоловіків;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B7458">
        <w:rPr>
          <w:rFonts w:ascii="Times New Roman" w:hAnsi="Times New Roman"/>
          <w:sz w:val="28"/>
          <w:szCs w:val="28"/>
          <w:u w:val="single"/>
        </w:rPr>
        <w:t>г) рівні права та можливості жінок та чоловіків.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B7458">
        <w:rPr>
          <w:rFonts w:ascii="Times New Roman" w:hAnsi="Times New Roman"/>
          <w:b/>
          <w:i/>
          <w:sz w:val="28"/>
          <w:szCs w:val="28"/>
        </w:rPr>
        <w:t>Подвійна статева мораль – це: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а) особливе природне призначення жінки і чоловіка;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B7458">
        <w:rPr>
          <w:rFonts w:ascii="Times New Roman" w:hAnsi="Times New Roman"/>
          <w:sz w:val="28"/>
          <w:szCs w:val="28"/>
          <w:u w:val="single"/>
        </w:rPr>
        <w:t>б) різні соціальні очікування і різні вимоги до жінок і чоловіків;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в) виконання жінками і чоловіками різних соціальних ролей;</w:t>
      </w:r>
    </w:p>
    <w:p w:rsidR="001B7458" w:rsidRPr="001B7458" w:rsidRDefault="00386CBB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роздвоєння жінки</w:t>
      </w:r>
      <w:bookmarkStart w:id="0" w:name="_GoBack"/>
      <w:bookmarkEnd w:id="0"/>
      <w:r w:rsidR="001B7458" w:rsidRPr="001B7458">
        <w:rPr>
          <w:rFonts w:ascii="Times New Roman" w:hAnsi="Times New Roman"/>
          <w:sz w:val="28"/>
          <w:szCs w:val="28"/>
        </w:rPr>
        <w:t xml:space="preserve"> як особистості на дві статті.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B7458">
        <w:rPr>
          <w:rFonts w:ascii="Times New Roman" w:hAnsi="Times New Roman"/>
          <w:b/>
          <w:i/>
          <w:sz w:val="28"/>
          <w:szCs w:val="28"/>
        </w:rPr>
        <w:t xml:space="preserve">Теорія </w:t>
      </w:r>
      <w:proofErr w:type="spellStart"/>
      <w:r w:rsidRPr="001B7458">
        <w:rPr>
          <w:rFonts w:ascii="Times New Roman" w:hAnsi="Times New Roman"/>
          <w:b/>
          <w:i/>
          <w:sz w:val="28"/>
          <w:szCs w:val="28"/>
        </w:rPr>
        <w:t>гендеру</w:t>
      </w:r>
      <w:proofErr w:type="spellEnd"/>
      <w:r w:rsidRPr="001B7458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B7458">
        <w:rPr>
          <w:rFonts w:ascii="Times New Roman" w:hAnsi="Times New Roman"/>
          <w:sz w:val="28"/>
          <w:szCs w:val="28"/>
          <w:u w:val="single"/>
        </w:rPr>
        <w:t>а) напрямок наукової діяльності та її соціальної організації, спрямований на вивчення місця, ролі, активності, волевиявлення й самореалізації чоловіків і жінок у змінних історичних умовах соціального буття певної епохи;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б) уявлення про соціальні ролі для чоловіків і жінок, базовані передусім на біологічних ознаках;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в) напрямок науково-практичної діяльності, спрямований на вивчення активності чоловіків і жінок у прийнятті державних рішень;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 xml:space="preserve">г) напрямок наукової діяльності, який вивчає історичне становлення політичних прав чоловіків і  жінок.  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B7458">
        <w:rPr>
          <w:rFonts w:ascii="Times New Roman" w:hAnsi="Times New Roman"/>
          <w:b/>
          <w:i/>
          <w:sz w:val="28"/>
          <w:szCs w:val="28"/>
        </w:rPr>
        <w:t>Гендерна система суспільства: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а) ставлення суспільства до проблем статі;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B7458">
        <w:rPr>
          <w:rFonts w:ascii="Times New Roman" w:hAnsi="Times New Roman"/>
          <w:sz w:val="28"/>
          <w:szCs w:val="28"/>
          <w:u w:val="single"/>
        </w:rPr>
        <w:lastRenderedPageBreak/>
        <w:t>б) сукупність взаємопов'язаних інститутів та організацій, за допомогою яких соціально, ідеологічно й організаційно будуються взаємини між жінкою і чоловіком;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в) свобод та обов'язків жінок та чоловіків;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г) утвердження й гарантії прав.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B7458">
        <w:rPr>
          <w:rFonts w:ascii="Times New Roman" w:hAnsi="Times New Roman"/>
          <w:b/>
          <w:i/>
          <w:sz w:val="28"/>
          <w:szCs w:val="28"/>
        </w:rPr>
        <w:t>Маскулінність</w:t>
      </w:r>
      <w:proofErr w:type="spellEnd"/>
      <w:r w:rsidRPr="001B7458">
        <w:rPr>
          <w:rFonts w:ascii="Times New Roman" w:hAnsi="Times New Roman"/>
          <w:b/>
          <w:i/>
          <w:sz w:val="28"/>
          <w:szCs w:val="28"/>
        </w:rPr>
        <w:t>:</w:t>
      </w:r>
      <w:r w:rsidRPr="001B7458">
        <w:rPr>
          <w:rFonts w:ascii="Times New Roman" w:hAnsi="Times New Roman"/>
          <w:i/>
          <w:sz w:val="28"/>
          <w:szCs w:val="28"/>
        </w:rPr>
        <w:t xml:space="preserve"> 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 xml:space="preserve">а) </w:t>
      </w:r>
      <w:r w:rsidRPr="001B7458">
        <w:rPr>
          <w:rFonts w:ascii="Times New Roman" w:hAnsi="Times New Roman"/>
          <w:sz w:val="28"/>
          <w:szCs w:val="28"/>
          <w:u w:val="single"/>
        </w:rPr>
        <w:t>комплекс установок, поведінкових характеристик, можливостей та очікувань, що визначають соціальну практику чоловіків як соціальної групи;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б) сукупність фізичних якостей, моральних норм і поведінкових особливостей, властивих людині від народження;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в) основна категорія гендерних досліджень;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 xml:space="preserve">г) певний спосіб осмислення та сприйняття </w:t>
      </w:r>
      <w:proofErr w:type="spellStart"/>
      <w:r w:rsidRPr="001B7458">
        <w:rPr>
          <w:rFonts w:ascii="Times New Roman" w:hAnsi="Times New Roman"/>
          <w:sz w:val="28"/>
          <w:szCs w:val="28"/>
        </w:rPr>
        <w:t>реальности</w:t>
      </w:r>
      <w:proofErr w:type="spellEnd"/>
      <w:r w:rsidRPr="001B7458">
        <w:rPr>
          <w:rFonts w:ascii="Times New Roman" w:hAnsi="Times New Roman"/>
          <w:sz w:val="28"/>
          <w:szCs w:val="28"/>
        </w:rPr>
        <w:t>.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b/>
          <w:i/>
          <w:sz w:val="28"/>
          <w:szCs w:val="28"/>
        </w:rPr>
        <w:t>Ґендерна ідентичність: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B7458">
        <w:rPr>
          <w:rFonts w:ascii="Times New Roman" w:hAnsi="Times New Roman"/>
          <w:sz w:val="28"/>
          <w:szCs w:val="28"/>
          <w:u w:val="single"/>
        </w:rPr>
        <w:t>а) Усвідомлення своєї належності до певної статі та готовність дотримуватись відповідних суспільних ґендерних норм;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 xml:space="preserve">б) тотожність явища, предмета або особистості самій собі, її якісна </w:t>
      </w:r>
      <w:proofErr w:type="spellStart"/>
      <w:r w:rsidRPr="001B7458">
        <w:rPr>
          <w:rFonts w:ascii="Times New Roman" w:hAnsi="Times New Roman"/>
          <w:sz w:val="28"/>
          <w:szCs w:val="28"/>
        </w:rPr>
        <w:t>самототожність</w:t>
      </w:r>
      <w:proofErr w:type="spellEnd"/>
      <w:r w:rsidRPr="001B7458">
        <w:rPr>
          <w:rFonts w:ascii="Times New Roman" w:hAnsi="Times New Roman"/>
          <w:sz w:val="28"/>
          <w:szCs w:val="28"/>
        </w:rPr>
        <w:t xml:space="preserve"> за вектором часу;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в) самовизначення і самоактуалізація особистості;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 xml:space="preserve">г)  </w:t>
      </w:r>
      <w:r w:rsidRPr="001B7458">
        <w:rPr>
          <w:rFonts w:ascii="Times New Roman" w:hAnsi="Times New Roman"/>
          <w:sz w:val="28"/>
          <w:szCs w:val="28"/>
          <w:shd w:val="clear" w:color="auto" w:fill="FFFFFF"/>
        </w:rPr>
        <w:t>це результат професійного самовизначення індивіда, який усвідомлює професію як покликання, ототожнення себе зі своєю справою.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Основним завданням процесу формування мережі ґендерних досліджень 90-х р у країнах Західної Європи стає: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розвинути знання про розмаїття дослідницьких методологій у жіночих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дослідженнях; сприяти усвідомленню філософських та етико-моральних аспектів;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осмислити зміщення акценту в феміністській теорії та методології в напрямку філософії;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здійснювати феміністську критику культурних досліджень;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г) всі відповіді вірні.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Автор резонансної статті, яка вийшла 1990 році “Фемінізм, постмодернізм та ґендерний скептицизм”: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Олімпія де Гуж;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б) Маргарет </w:t>
      </w:r>
      <w:proofErr w:type="spellStart"/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Течер</w:t>
      </w:r>
      <w:proofErr w:type="spellEnd"/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в) </w:t>
      </w:r>
      <w:proofErr w:type="spellStart"/>
      <w:r w:rsidRPr="001B745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Сюзан</w:t>
      </w:r>
      <w:proofErr w:type="spellEnd"/>
      <w:r w:rsidRPr="001B745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Бордо;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г) </w:t>
      </w:r>
      <w:proofErr w:type="spellStart"/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Джастін</w:t>
      </w:r>
      <w:proofErr w:type="spellEnd"/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Трюдо</w:t>
      </w:r>
      <w:proofErr w:type="spellEnd"/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Соціальна ідентичність: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а) ідентичність, яка зумовлена соціальними ролями,  культурно прийнятними соціальними очікуваннями до відповідних видів поведінки, характерних для певних соціальних позицій;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б) одна з найсуттєвіших характеристик людини, без якої вона не може існувати як свідома автономна особистість;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ідентифікація людини як члена расової, релігійної, національної спільнот або мовної групи, субкультури чи іншої соціальної структури;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г) система рольових ідентичностей щодо роботи, як у домашньому господарстві, так і поза ним.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Ґендерно-рольовий інфантилізм: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соціально-культурний конструкт, який відображає відмінності між чоловіком та жінкою;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б) невідповідність ґендерної ролі віковій стадії ґендерного розвитку, заміна або компенсація одних ролей іншими, що відповідають більш ранньому періоду життя;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блокування важливих потреб у рольовому розвиткові;</w:t>
      </w:r>
    </w:p>
    <w:p w:rsidR="001B7458" w:rsidRPr="001B7458" w:rsidRDefault="001B7458" w:rsidP="001B74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г) втрата роллю її функціональних особливостей, скорочення сфер застосування в результаті обмеження рольової поведінки.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Концепція </w:t>
      </w:r>
      <w:proofErr w:type="spellStart"/>
      <w:r w:rsidRPr="001B745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ґендеру</w:t>
      </w:r>
      <w:proofErr w:type="spellEnd"/>
      <w:r w:rsidRPr="001B745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стала загальновизнаним досягненням </w:t>
      </w:r>
      <w:proofErr w:type="spellStart"/>
      <w:r w:rsidRPr="001B745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неофеміністського</w:t>
      </w:r>
      <w:proofErr w:type="spellEnd"/>
      <w:r w:rsidRPr="001B745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руху, що розгорнувся: 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а) в 70-80-х роках в США; 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б) в 60–70-х роках на Заході;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в 80-90-х роках на Заході;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B7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г) в 70-80-х роках на Заході.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B7458">
        <w:rPr>
          <w:rFonts w:ascii="Times New Roman" w:hAnsi="Times New Roman"/>
          <w:b/>
          <w:i/>
          <w:sz w:val="28"/>
          <w:szCs w:val="28"/>
        </w:rPr>
        <w:t>Проголошення гендерної рівності передбачає: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B7458">
        <w:rPr>
          <w:rFonts w:ascii="Times New Roman" w:hAnsi="Times New Roman"/>
          <w:sz w:val="28"/>
          <w:szCs w:val="28"/>
          <w:u w:val="single"/>
        </w:rPr>
        <w:t>а) досягнення рівного становища жінок і чоловіків у всіх сферах життєдіяльності суспільства;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б) спроба жінок стати на крок вище чоловіків;</w:t>
      </w:r>
    </w:p>
    <w:p w:rsidR="001B7458" w:rsidRP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в) рівність між культурною сферою життя чоловіків і жінок;</w:t>
      </w:r>
    </w:p>
    <w:p w:rsidR="001B7458" w:rsidRDefault="001B7458" w:rsidP="001B7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7458">
        <w:rPr>
          <w:rFonts w:ascii="Times New Roman" w:hAnsi="Times New Roman"/>
          <w:sz w:val="28"/>
          <w:szCs w:val="28"/>
        </w:rPr>
        <w:t>г) рівність чоловіків і жінок  у політичній сфері.</w:t>
      </w:r>
    </w:p>
    <w:p w:rsidR="00D17242" w:rsidRDefault="00D17242" w:rsidP="001B7458">
      <w:pPr>
        <w:spacing w:after="0"/>
        <w:ind w:firstLine="567"/>
      </w:pPr>
    </w:p>
    <w:sectPr w:rsidR="00D1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2D"/>
    <w:rsid w:val="001B7458"/>
    <w:rsid w:val="00386CBB"/>
    <w:rsid w:val="00877A2D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5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5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3101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3</cp:revision>
  <dcterms:created xsi:type="dcterms:W3CDTF">2019-01-16T20:50:00Z</dcterms:created>
  <dcterms:modified xsi:type="dcterms:W3CDTF">2019-01-20T18:34:00Z</dcterms:modified>
</cp:coreProperties>
</file>